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ATAS/1094/2014 vom 16. Oktober 2014</w:t>
      </w:r>
    </w:p>
    <w:p>
      <w:r>
        <w:t>GE Cour de justice, 2014-10-16, FR</w:t>
      </w:r>
    </w:p>
    <w:p>
      <w:r>
        <w:rPr>
          <w:b/>
        </w:rPr>
        <w:t xml:space="preserve">Quelle: </w:t>
      </w:r>
      <w:r>
        <w:t>https://mcp.opencaselaw.ch/entscheid/ge_gerichte_ATAS_1094_2014</w:t>
      </w:r>
    </w:p>
    <w:p>
      <w:r>
        <w:t>FR: GE_GERICHTE ATAS/1094/2014 du 16 octobre 2014</w:t>
      </w:r>
    </w:p>
    <w:p>
      <w:r>
        <w:t>IT: GE_GERICHTE ATAS/1094/2014 del 16 ottobre 2014</w:t>
      </w:r>
    </w:p>
    <w:p>
      <w:pPr>
        <w:pStyle w:val="Heading2"/>
      </w:pPr>
      <w:r>
        <w:t>Erwägungen</w:t>
      </w:r>
    </w:p>
    <w:p>
      <w:r>
        <w:rPr>
          <w:b/>
        </w:rPr>
        <w:t>E. 1</w:t>
      </w:r>
    </w:p>
    <w:p>
      <w:r>
        <w:t>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w:t>
      </w:r>
    </w:p>
    <w:p>
      <w:r>
        <w:t>A/3925/2012 - 11/19 - RS 220]; art. 52, 56a, al. 1, et art. 73 de la loi fédérale sur la prévoyance professionnelle, vieillesse, survivants et invalidité du 25 juin 1982 [LPP ; RS 831.40]; art. 142 du Code civil [CC ; RS 210]). Selon l’art. 73 al. 3 LPP, le for est au siège ou domicile suisse du défendeur ou au lieu de l'exploitation dans laquelle l'assuré a été engagé. Le demandeur ayant travaillé dans le canton de Genève, la compétence de la Cour de céans pour juger du cas d’espèce est ainsi établie. La compétence de la Cour de céans pour juger du cas d’espèce est ainsi établie.</w:t>
      </w:r>
    </w:p>
    <w:p>
      <w:r>
        <w:rPr>
          <w:b/>
        </w:rPr>
        <w:t>E. 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w:t>
      </w:r>
    </w:p>
    <w:p>
      <w:r>
        <w:rPr>
          <w:b/>
        </w:rPr>
        <w:t>E. 3</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Elle est applicable en l'espèce dès lors que les faits juridiquement déterminants se sont déroulés postérieurement à son entrée en vigueur (ATF 130 V 445 consid. 1).</w:t>
      </w:r>
    </w:p>
    <w:p>
      <w:r>
        <w:rPr>
          <w:b/>
        </w:rPr>
        <w:t>E. 4</w:t>
      </w:r>
    </w:p>
    <w:p>
      <w:r>
        <w:t>Le litige porte sur le droit du demandeur à une rente, plus précisément sur le point de savoir s’il était assuré auprès de la défenderesse lorsque l’incapacité de travail à l’origine de son invalidité est survenue.</w:t>
      </w:r>
    </w:p>
    <w:p>
      <w:r>
        <w:rPr>
          <w:b/>
        </w:rPr>
        <w:t>E. 5</w:t>
      </w:r>
    </w:p>
    <w:p>
      <w:r>
        <w:t>Selon l’art. 23 let. a LPP dans sa teneur en force depuis le 1er janvier 2005, ont droit à des prestations d'invalidité les personnes qui sont invalides à raison de 40 % au moins au sens de l'AI, et qui étaient assurées lorsqu'est survenue l'incapacité de travail dont la cause est à l'origine de l'invalidité. L’art. 24 al. 1 let. a LPP dispose que l’assuré a droit à une rente entière s'il est invalide à raison 70 % au moins au sens de l'AI.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w:t>
      </w:r>
    </w:p>
    <w:p>
      <w:r>
        <w:t>A/3925/2012 - 12/19 - prévoyance. Dans ce sens, la perte de la qualité d'assuré ne constitue pas un motif d'extinction du droit aux prestations au sens de l'art. 26 al. 3 LPP (ATF 123 V 262 consid. 1a; ATF 118 V 45 consid. 5).</w:t>
      </w:r>
    </w:p>
    <w:p>
      <w:r>
        <w:rPr>
          <w:b/>
        </w:rPr>
        <w:t>E. 6</w:t>
      </w:r>
    </w:p>
    <w:p>
      <w:r>
        <w:t>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 arrêt du Tribunal fédéral des assurances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 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(arrêt du Tribunal fédéral 9C_54/2007 du 9 octobre 2008 consid. 3.1). En l’espèce, le règlement pour la prévoyance de base LPP de la défenderesse entré en vigueur le 1er janvier 2005 prévoit à son chiffre 20.2 que la personne assurée a notamment droit à des prestations d’invalidité si elle est invalide à raison de 40 % au moins au sens de l’AI et qu’elle était assurée sur la base de ce règlement de prévoyance lorsqu’est survenue l’incapacité de travail dont la cause est à l’origine de l’invalidité. La défenderesse ne s’écarte ainsi pas de la notion d’invalidité de la LAI, s’agissant du droit aux prestations.</w:t>
      </w:r>
    </w:p>
    <w:p>
      <w:r>
        <w:rPr>
          <w:b/>
        </w:rPr>
        <w:t>E. 7</w:t>
      </w:r>
    </w:p>
    <w:p>
      <w:r>
        <w:t>L’assureur qui rend une décision touchant l’obligation d’un autre assureur d’allouer des prestations est tenu de lui en communiquer un exemplaire. Cet autre assureur dispose des mêmes voies de droit que l’assuré (art. 49 al. 4 de la loi fédérale sur la partie générale du droit des assurances sociales [LPGA ; RS 830.1]). Lorsqu'elle n'est pas intégrée à la procédure, la fondation de prévoyance – qui dispose d'un droit de recours propre dans les procédures régies par la LAI – n’est pas liée par l'évaluation de l'invalidité (principe, taux et début du droit) à laquelle ont procédé les organes de l'assurance-invalidité (arrêt du Tribunal fédéral des assurances B 110/05 du 31 janvier 2007 consid. 6.2).</w:t>
      </w:r>
    </w:p>
    <w:p>
      <w:r>
        <w:t>A/3925/2012 - 13/19 - Par ailleurs, lorsque l'annonce pour obtenir des prestations de l'assurance-invalidité a été faite tardivement, il n'y a aucune raison, du point de vue de l'assurance- invalidité, d'examiner l'évolution de la capacité de travail au-delà de la période précédant le dépôt de la demande. Ainsi, pour ce qui est de la période antérieure, les constatations et autres appréciations des organes de l'assurance-invalidité n'ont a priori aucune force contraignante pour les organes de la prévoyance professionnelle (arrêt du Tribunal fédéral 9C_53/2012 du 18 février 2013 consid. 6.1 et les références; Hans-Ulrich STAUFFER, Berufliche Vorsorge, 2ème éd. 2012, p. 316 n. 874).</w:t>
      </w:r>
    </w:p>
    <w:p>
      <w:r>
        <w:rPr>
          <w:b/>
        </w:rPr>
        <w:t>E. 8</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 (arrêt du Tribunal fédéral des assurances B 105/03 du 14 mars 2005 consid. 1).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du Tribunal fédéral 9C_748/2010 du 20 mai 2011 consid. 2.5).</w:t>
      </w:r>
    </w:p>
    <w:p>
      <w:r>
        <w:t>A/3925/2012 - 14/19 -</w:t>
      </w:r>
    </w:p>
    <w:p>
      <w:r>
        <w:rPr>
          <w:b/>
        </w:rPr>
        <w:t>E. 9</w:t>
      </w:r>
    </w:p>
    <w:p>
      <w:r>
        <w:t>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Jacques-André SCHNEIDER / Thomas GEISER / Thomas GÄCHTER [édit.], Commentaire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 12/03 du</w:t>
      </w:r>
    </w:p>
    <w:p>
      <w:r>
        <w:rPr>
          <w:b/>
        </w:rPr>
        <w:t>E. 12</w:t>
      </w:r>
    </w:p>
    <w:p>
      <w:r>
        <w:t>Eu égard à ce qui précède, la demande est rejetée. La défenderesse conclut à l'octroi de dépens. Or,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Ces conditions ne sont pas réalisées en l'espèce, de sorte que la défenderesse ne peut se voir allouer une telle indemnité. Pour le surplus, la procédure est gratuite (art. 73 al. 2 LPP et art. 89H al. 1 LPA).</w:t>
      </w:r>
    </w:p>
    <w:p>
      <w:r>
        <w:t>A/3925/2012 - 19/19 -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