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ATAS/1094/2012 vom 4. September 2012</w:t>
      </w:r>
    </w:p>
    <w:p>
      <w:r>
        <w:t>GE Cour de justice, 2012-09-04, FR</w:t>
      </w:r>
    </w:p>
    <w:p>
      <w:r>
        <w:rPr>
          <w:b/>
        </w:rPr>
        <w:t xml:space="preserve">Quelle: </w:t>
      </w:r>
      <w:r>
        <w:t>https://mcp.opencaselaw.ch/entscheid/ge_gerichte_ATAS_1094_2012</w:t>
      </w:r>
    </w:p>
    <w:p>
      <w:r>
        <w:t>FR: GE_GERICHTE ATAS/1094/2012 du 4 septembre 2012</w:t>
      </w:r>
    </w:p>
    <w:p>
      <w:r>
        <w:t>IT: GE_GERICHTE ATAS/1094/2012 del 4 settembre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A/2111/2012 - 4/8 -</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Selon l’article 89B LPA, le recours doit comporter un exposé succinct des faits ou des motifs invoqués, ainsi que des conclusions. Si le recours n’est pas conforme à ces règles, la Cour impartit un délai convenable à son auteur pour le compléter. Selon l’article 72 LPA, l’autorité de recours peut, sans instruction préalable, par une décision sommairement motivée, écarter un recours manifestement irrecevable ou rejeter un recours manifestement mal fondé.</w:t>
      </w:r>
    </w:p>
    <w:p>
      <w:r>
        <w:rPr>
          <w:b/>
        </w:rPr>
        <w:t>E. 4</w:t>
      </w:r>
    </w:p>
    <w:p>
      <w:r>
        <w:t>En l'espèce, la recevabilité du recours est douteuse, tant il est vrai que malgré le délai imparti à la recourante pour compléter son acte, celle-ci se contente de répéter qu'elle ne peut pas payer la somme réclamée, sans indiquer en quoi la décision sur opposition querellée est critiquable ou quel élément de cette décision est contesté, s'agissant de la bonne foi. Toutefois, il ressort du courrier adressé au SPC le 7 juillet 2012 que l'assurée semble faire valoir qu'elle remplit la condition de la bonne foi au motif que le revenu de l'activité lucrative réalisé depuis en tout cas 2007 jusqu'en juillet 2011 et non déclaré au SPC aurait servi à payer des arriérés d'impôts. La question de la recevabilité du recours sera laissée ouverte tant il est vrai que le recours est manifestement mal fondé, raison pour laquelle le SPC n'a pas été invité à déposer de réponse en application de l'art. 72 LPA.</w:t>
      </w:r>
    </w:p>
    <w:p>
      <w:r>
        <w:rPr>
          <w:b/>
        </w:rPr>
        <w:t>E. 5</w:t>
      </w:r>
    </w:p>
    <w:p>
      <w:r>
        <w:t>Le litige porte uniquement sur les conditions d’une remise de l’obligation de restituer les prestations complémentaires à hauteur de 22'568 fr. 60, et singulièrement sur celle de la bonne foi. Selon l’art. 25 LPGA, les prestations indûment touchées doivent être restituées (al. 1). La restitution ne peut pas être exigée lorsque l’intéressé était de bonne foi et qu’elle le mettrait dans une situation difficile (al. 2).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nécessaires et déposée au plus tard 30 jours à compter de l’entrée en force de la décision de restitution (art. 4 al. 4 OPGA). Il s'agit d'un délai d’ordre et non de péremption (ATF 132 V 42 consid. 3). Pour le surplus, la remise fait l’objet d’une décision (art. 4 al. 5 OPGA). Pour le surplus, dans la mesure où la demande de remise ne peut être traitée sur le fond que si la décision de restitution est entrée en force, la remise et son étendue font l’objet</w:t>
      </w:r>
    </w:p>
    <w:p>
      <w:r>
        <w:t>A/2111/2012 - 5/8 - d’une procédure distincte (ATFA non publié du 25 janvier 2006, C 264/05, consid. 2.1).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w:t>
      </w:r>
    </w:p>
    <w:p>
      <w:r>
        <w:rPr>
          <w:b/>
        </w:rPr>
        <w:t>E. 6</w:t>
      </w:r>
    </w:p>
    <w:p>
      <w:r>
        <w:t>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w:t>
      </w:r>
    </w:p>
    <w:p>
      <w:r>
        <w:t>A/2111/2012 - 6/8 - 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Le devoir d’informer l’administration s’étend à tous les faits qui ont une importance pour le droit aux prestations</w:t>
      </w:r>
    </w:p>
    <w:p>
      <w:r>
        <w:rPr>
          <w:b/>
        </w:rPr>
        <w:t>E. 7</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Dans le cas d'espèce, il est manifeste que l’assurée a gravement violé son devoir d’information en n’annonçant pas au SPC qu’elle réalisait un revenu annuel de l’ordre de 40'000 à 45'000 fr. par an, en plus de sa rente AVS d’environ 26'000 fr. et de sa rente du 2ème pilier de 11'500 fr. par an. En premier lieu, elle s'est engagée à annoncer tout changement dans sa situation lors de la demande déposée en 2005. En second lieu, elle a reçu, chaque année, une information l’invitant à annoncer tout changement dans sa situation financière. En troisième lieu, il lui appartenait de vérifier, chaque année, que le plan de calcul du SPC tienne compte du revenu réalisé dans le cadre de son activité lucrative. Il est en effet exigible d’un assuré qu’il vérifie les éléments pris en compte par l’administration pour calculer son droit aux prestations et, en l’espèce, au vu du montant du salaire (qui double le revenu</w:t>
      </w:r>
    </w:p>
    <w:p>
      <w:r>
        <w:t>A/2111/2012 - 7/8 - provenant de rentes), il s’agissait d’une modification sensible de sa situation matérielle que l’assurée devait impérativement annoncer. Au demeurant, la recourante ne pouvait pas raisonnablement croire qu’en réalisant un revenu de plus de 80'000 fr. bruts par an, elle entrait dans les barèmes donnant droit à des prestations complémentaires, ne serait-ce que limitées au subside de l’assurance-maladie, alors que ce subside d’assurance-maladie lui avait été octroyé sur la base d'un plan de calcul fondé sur un revenu de la moitié de celui réalisé. Il est d'ailleurs notoire que les bénéficiaires de prestations complémentaires - lesquelles sont destinées à couvrir exclusivement les besoins vitaux - ne paient pas d'impôts de sorte que l'assurée ne pouvait pas ignorer qu'en payant 1'200 fr. d'impôts par mois, elle ne pouvait pas entrer dans le cercle des bénéficiaires de prestations complémentaires. Finalement, outre le fait que ce revenu de plus de 40'000 fr. par an durant 3 ans et demi en tout cas (l'assurée indiquant avoir repris un travail en 2003) n’a pas uniquement servi à rembourser des dettes d’impôts (prouvées à hauteur de moins de 20'000 fr.), la recourante ne peut pas prétendre qu’elle croyait, de bonne foi, que les prestations complémentaires sont destinées à payer des dettes. Si l’assurée entendait faire valoir que le SPC aurait dû tenir compte, lors de l'établissement des plans de calcul pour les années 2007 à 2011, des impôts dus sur le revenu réalisé, au titre des dépenses, et du revenu net et non pas brut, il lui appartenait de recourir contre la décision de restitution, maintenant entrée en force, cet élément étant sans conséquence sur la présente procédure, qui concerne la demande de remise. Toutefois, l'excédent de revenus (revenus - charges) étant de 30'000 fr. en moyenne, il semble bien que les impôts annuels (de l'ordre de 12'000 fr. selon ses allégués), et les charges sociales ne sont suffisants pour combler cet excédent. La condition de la bonne foi n'étant manifestement pas remplie, peu importe que l'assurée réalise celle de la situation financière difficile, les deux conditions étant cumulatives. Il lui appartient donc de proposer des modalités de règlement de sa dette au SPC.</w:t>
      </w:r>
    </w:p>
    <w:p>
      <w:r>
        <w:rPr>
          <w:b/>
        </w:rPr>
        <w:t>E. 9</w:t>
      </w:r>
    </w:p>
    <w:p>
      <w:r>
        <w:t>Le recours est donc rejeté, dans la mesure de sa recevabilité, et la procédure est gratuite.</w:t>
      </w:r>
    </w:p>
    <w:p>
      <w:r>
        <w:t>A/2111/2012 - 8/8 - PAR CES MOTIFS, LA CHAMBRE DES ASSURANCES SOCIALES : Statuant 1. Rejette le recours dans la mesure de sa recevabilité.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