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ATAS/1093/2020 vom 16. November 2020</w:t>
      </w:r>
    </w:p>
    <w:p>
      <w:r>
        <w:t>GE Cour de justice, 2020-11-16, FR</w:t>
      </w:r>
    </w:p>
    <w:p>
      <w:r>
        <w:rPr>
          <w:b/>
        </w:rPr>
        <w:t xml:space="preserve">Quelle: </w:t>
      </w:r>
      <w:r>
        <w:t>https://mcp.opencaselaw.ch/entscheid/ge_gerichte_ATAS_1093_2020</w:t>
      </w:r>
    </w:p>
    <w:p>
      <w:r>
        <w:t>FR: GE_GERICHTE ATAS/1093/2020 du 16 novembre 2020</w:t>
      </w:r>
    </w:p>
    <w:p>
      <w:r>
        <w:t>IT: GE_GERICHTE ATAS/1093/2020 del 16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présent recours, interjeté en temps utile, est recevable (art. 60 al. 1 LPGA).</w:t>
      </w:r>
    </w:p>
    <w:p>
      <w:r>
        <w:rPr>
          <w:b/>
        </w:rPr>
        <w:t>E. 3</w:t>
      </w:r>
    </w:p>
    <w:p>
      <w:r>
        <w:t>Le litige porte sur le droit de l'intimé de prononcer à l'encontre de la recourante une suspension d'une durée de cinq jours dans l'exercice de son droit à l'indemnité, au motif que ses recherches d'emploi pour le mois de novembre 2019 sont tardives.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Cet article a été considéré comme conforme à la loi (ATF 139 V 164). Sauf excuse valable, une suspension du droit à l'indemnité peut être prononcée si les preuves ne sont pas fournies dans le délai; peu importe qu'elles soient produites ultérieurement, par exemple dans une procédure d'opposition (arrêt du Tribunal fédéral 8 C 758/2017 du 19 octobre 2018).</w:t>
      </w:r>
    </w:p>
    <w:p>
      <w:r>
        <w:t>A/1680/2020 - 6/10 -</w:t>
      </w:r>
    </w:p>
    <w:p>
      <w:r>
        <w:rPr>
          <w:b/>
        </w:rPr>
        <w:t>E. 5</w:t>
      </w:r>
    </w:p>
    <w:p>
      <w:r>
        <w:t>a.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 Conformément à l’art. 30 al. 2 LACI, l'autorité cantonale prononce les suspensions au sens de l'al. 1, let. c et d. A teneur de l’al. 3 de cette disposition, la durée de la suspension est proportionnelle à la gravité de la faute et ne peut excéder, par motif de suspension, 60 jours, 25 jours. L’al. 3bis prévoit en outre que le conseil fédéral peut prescrire une durée minimale pour la suspension. Selon l’art. 45 al. 3 OACI, la suspension est de 1 à 15 jours en cas de faute légère, de 16 à 30 jours en cas de faute de gravité moyenne et de 31 à 60 jours en cas de faute grave. b.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5 à</w:t>
      </w:r>
    </w:p>
    <w:p>
      <w:r>
        <w:rPr>
          <w:b/>
        </w:rPr>
        <w:t>E. 9</w:t>
      </w:r>
    </w:p>
    <w:p>
      <w:r>
        <w:t>Partant le recours sera partiellement admis et la décision litigieuse réformée, dans le sens que la sanction sera réduite de 5 à 2 jours de suspension du droit à l’indemnité de la recourante. Pour le surplus la procédure est gratuite.</w:t>
      </w:r>
    </w:p>
    <w:p>
      <w:r>
        <w:t>A/1680/2020 - 10/10 -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