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ATAS/1092/2019 vom 26. November 2019</w:t>
      </w:r>
    </w:p>
    <w:p>
      <w:r>
        <w:t>GE Cour de justice, 2019-11-26, FR</w:t>
      </w:r>
    </w:p>
    <w:p>
      <w:r>
        <w:rPr>
          <w:b/>
        </w:rPr>
        <w:t xml:space="preserve">Quelle: </w:t>
      </w:r>
      <w:r>
        <w:t>https://mcp.opencaselaw.ch/entscheid/ge_gerichte_ATAS_1092_2019</w:t>
      </w:r>
    </w:p>
    <w:p>
      <w:r>
        <w:t>FR: GE_GERICHTE ATAS/1092/2019 du 26 novembre 2019</w:t>
      </w:r>
    </w:p>
    <w:p>
      <w:r>
        <w:t>IT: GE_GERICHTE ATAS/1092/2019 del 26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Il convient de se prononcer préalablement sur la recevabilité du recours déposé par le recourant le 17 août 2018 auprès de la chambre de céans. À cette fin, il y a lieu de définir l’objet du litige. 3. Le recours est dirigé contre un courrier de l’intimé indiquant au recourant qu’il n’entrerait pas en matière sur sa demande de reconsidération pour la période antérieure à janvier 2016. a. En vertu de l’art. 53 al. 1 LPGA, les décisions et les décisions sur opposition formellement passées en force sont soumises à révision si l’assuré ou l’assureur découvre subséquemment des faits nouveaux importants ou trouve des nouveaux</w:t>
      </w:r>
    </w:p>
    <w:p>
      <w:r>
        <w:t>A/2761/2018 - 7/19 - moyens de preuve qui ne pouvaient être produits auparavant. L’al. 2 de cette même disposition, qui formalise un principe général du droit des assurances sociales, prévoit que l’assureur peut reconsidérer les décisions ou les décisions sur opposition formellement passées en force, lorsqu’elles sont manifestement erronées et que leur rectification revêt une importance notable (ATF 133 V 50 consid. 4.1). b. Selon la jurisprudence,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9C_447/2007 du</w:t>
      </w:r>
    </w:p>
    <w:p>
      <w:r>
        <w:rPr>
          <w:b/>
        </w:rPr>
        <w:t>E. 10</w:t>
      </w:r>
    </w:p>
    <w:p>
      <w:r>
        <w:t>Il convient à présent d’examiner le fond du litige, ayant trait à la validité de la notification des décisions de prestations complémentaires rendues par l’intimé entre 2001 et 2016.</w:t>
      </w:r>
    </w:p>
    <w:p>
      <w:r>
        <w:rPr>
          <w:b/>
        </w:rPr>
        <w:t>E. 11</w:t>
      </w:r>
    </w:p>
    <w:p>
      <w:r>
        <w:t>a. L’exercice du droit aux prestations complémentaires est défini à l’art. 20 al. 1 de l’ordonnance sur les prestations complémentaires à l’assurance-vieillesse, survivants et invalidité du 15 janvier 1971 (OPC-AVS/AI - RS 831.301) : la personne qui veut faire valoir un droit à une prestation complémentaire annuelle doit déposer une demande écrite. L’art. 67 al. 1 du règlement sur l'assurance-vieillesse et survivants du 31 octobre 1947 (RAVS - RS 831.101), est applicable par analogie. Cette dernière disposition prévoit que l’exercice du droit aux prestations appartient à l’ayant droit ou, agissant en son nom, à son représentant légal, à son conjoint, à ses parents ou grands-parents, à ses enfants ou petits-enfants, à ses frères et sœurs, ainsi qu’au tiers ou à l’autorité pouvant exiger le versement de la rente. b. Conformément à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Cette disposition a un pendant en droit cantonal, à savoir l’art. 22 al. 1 LPCC, prévoyant que si l’ayant droit n’emploie pas les prestations pour son entretien et pour celui des personnes à sa charge ou s’il est prouvé qu’il n’est pas capable de les affecter à ce but, les prestations sont versées à un tiers qualifié ayant envers l’ayant droit un devoir d’assistance ou s’occupant de ses affaires en permanence. Les prestations doivent être utilisées exclusivement pour l’entretien de l’ayant droit et des personnes à sa charge (art. 22 al. 2 in fine LPCC). Selon l’art. 1 al. 2 de l’ordonnance sur la partie générale du droit des assurances sociales du 11 septembre 2002 (OPGA - RS 830.11), le tiers ou l’autorité qui assume une obligation d’entretien envers l’ayant droit ou qui l’assiste en permanence et à qui sont versées des prestations en espèces pour qu’elles soient utilisées conformément à leur but au sens de l’art. 20 LPGA ou des dispositions des</w:t>
      </w:r>
    </w:p>
    <w:p>
      <w:r>
        <w:t>A/2761/2018 - 15/19 - lois spéciales, est tenu d’affecter ces prestations en espèces exclusivement à l’entretien de l’ayant droit ou des personnes à sa charge (let. a) ; et de faire rapport à l’assureur, à sa demande, sur l’emploi de ces prestations en espèces (let. b).</w:t>
      </w:r>
    </w:p>
    <w:p>
      <w:r>
        <w:rPr>
          <w:b/>
        </w:rPr>
        <w:t>E. 12</w:t>
      </w:r>
    </w:p>
    <w:p>
      <w:r>
        <w:t>a. S’agissant de la notification des décisions de prestations,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 jurisprudence, toute notification irrégulière ne doit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 111 V 149 consid. 4c p. 150 et les références ;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b. En matière de prestations complémentaires fédérales, l’art. 10 du règlement d'application de la loi sur les prestations fédérales complémentaires à l'assurance- vieillesse et survivants et à l'assurance-invalidité du 23 décembre 1998 (RPFC - J 4 20.01) prévoit que les décisions sont notifiées à l’intéressé ou à son représentant légal ; sur demande elles peuvent l’être au tiers ou à l’autorité, ainsi qu’au home ou à l’établissement médico-social où séjourne l’intéressé. En matière de prestations complémentaires cantonales, l’art. 12 al. 3 du règlement relatif aux</w:t>
      </w:r>
    </w:p>
    <w:p>
      <w:r>
        <w:t>A/2761/2018 - 16/19 - prestations cantonales complémentaires à l'assurance-vieillesse et survivants et à l’assurance-invalidité du 25 juin 1999 (RPCC-AVS/AI - J 4 25.03) stipule que les décisions sont notifiées par écrit à l’intéressé ou à son représentant légal, et que sur demande, elles peuvent l’être au tiers ou à l’autorité, au sens de l’art. 22 al. 2 LPCC, ainsi qu’à l’établissement où séjourne l’intéressé et qui s’occupe en permanence des affaires de ce dernier.</w:t>
      </w:r>
    </w:p>
    <w:p>
      <w:r>
        <w:rPr>
          <w:b/>
        </w:rPr>
        <w:t>E. 13</w:t>
      </w:r>
    </w:p>
    <w:p>
      <w:r>
        <w:t>S’agissant du droit de recours,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Contrairement à la jurisprudence antérieure, les parents en ligne ascendante ou descendante, ainsi que les frères et sœurs de l’ayant droit, ne disposent plus forcément de la qualité pour recourir contre une décision ou une décision sur opposition dans le domaine de l’AVS ni, par analogie, dans celui des prestations complémentaires. S’ils entendent se prévaloir d’un intérêt digne de protection, il leur appartient de le démontrer concrètement, sans que les seuls liens de parenté justifient de le tenir d’emblée pour établi. Le fait toutefois qu’un tiers ou une autorité soit habilité à présenter une demande de prestations complémentaires (art. 20 OPC-AVS/AI en relation avec l’art. 67 al. 1 RAVS) a également pour conséquence qu’il a qualité pour recourir tant en première qu’en seconde instance (Michel VALTERIO, Commentaire de la LPC, 2015, no. 74 ad art. 21, p. 278).</w:t>
      </w:r>
    </w:p>
    <w:p>
      <w:r>
        <w:rPr>
          <w:b/>
        </w:rPr>
        <w:t>E. 14</w:t>
      </w:r>
    </w:p>
    <w:p>
      <w:r>
        <w:t>En l’espèce, le recourant, incapable de discernement, n’a jamais pu s’occuper de ses affaires administratives. Jusqu’à leur décès, ses parents ont géré les affaires de leur fils, ce même si aucun d’entre eux n’a jamais été formellement nommé curateur. En effet, contrairement à ce que soutient l’intimé, il ne ressort pas de l’ordonnance du TPAE du 30 septembre 2016 que sa mère aurait été sa représentante légale. Cela étant, comme le permet l’art. 20 OPC-AVS/AI cum 67 al. 1 RAVS, le père du recourant a déposé la demande de prestations complémentaires initiale en 2001. La première décision de prestations complémentaires a ainsi été notifiée au recourant, à l’adresse de ses parents.</w:t>
      </w:r>
    </w:p>
    <w:p>
      <w:r>
        <w:t>A/2761/2018 - 17/19 - Une fois que le recourant a intégré la fondation, ses parents ont demandé à l’intimé de verser directement à cette dernière les prestations complémentaires dues à leur fils, comme en atteste la pièce produite par l’intimé le 4 décembre 2018. Par ailleurs, en vertu d’un contrat pour la gestion des finances figurant au dossier de l’intimé, la fondation réalise la gestion financière globale du recourant en contrepartie d’une indemnité mensuelle de CHF 40.-. Depuis que le recourant a intégré la fondation, les décisions de prestations complémentaires ont systématiquement été notifiées au recourant, à son adresse à la fondation, et non plus à ses parents. Lesdites décisions ne mentionnent pas qu’elles auraient été adressées en copie à ses parents. L’intimé ne le soutient d’ailleurs pas. Il y a lieu de constater que c’est conformément aux dispositions légales applicables que ces décisions ont été notifiées à la fondation. En effet, en tant qu’établissement où séjourne le recourant et qui s’occupe en permanence de ses affaires, la fondation est habilitée à percevoir directement les prestations complémentaires dues au recourant – à la condition d’affecter ces prestations à son entretien (art. 20 al. 1 LPGA, 1 al. 2 OPGA, 22 al. 1 LPCC) – et à se voir notifier les décisions y relatives (art. 10 RPFC et 12 al. 3 RPCC-AVS/AI). Elle est également, de par les art. 20 OPC-AVS/AI cum 67 al. 1 RAVS, autorisée à présenter directement une demande de prestations complémentaires au nom des résidents dont elle gère les affaires administratives, et, par-là même, à recourir contre les décisions les concernant (art. 59 LPGA). Au vu de ce qui précède, le recourant ne saurait être suivi lorsqu’il soutient que les décisions de prestations complémentaires le concernant n’auraient pas été valablement notifiées et que le délai d’opposition n’aurait commencé à courir que lorsque ses curateurs ont pu prendre connaissance de ses affaires administratives. Les décisions de prestations complémentaires ont valablement été notifiées au recourant, à l’adresse de la fondation, qui, en tant qu’établissement s’occupant en permanence des affaires du recourant, avait la qualité pour former opposition à leur encontre. Cela étant, on ne peut que déplorer que l’intimé, qui semble n’avoir jamais envoyé copie des décisions à la mère du recourant, ait indiqué, dans son courrier du 23 août 2016, qu’il n’entrerait pas en matière sur la demande de reconsidération de la fondation, aux motifs que la fondation n’était pas lésée par la prise en compte d’un prix erroné et que le recourant ou ses représentants légaux ne s’étaient pas manifestés auprès de lui. Ce faisant, il a sous-entendu que la fondation n’était pas habilitée à agir au nom du recourant, et que seul ce dernier ou ses représentants légaux auraient pu le faire, ce alors même qu’il n’avait pas adressé copie de ses décisions à ces derniers. Toutefois, dans la mesure où l’intimé n’était pas tenu de reconsidérer sa décision, un éventuel recours de la fondation contre son refus d’entrer en matière sur la demande de reconsidération aurait vraisemblablement été déclaré irrecevable.</w:t>
      </w:r>
    </w:p>
    <w:p>
      <w:r>
        <w:t>A/2761/2018 - 18/19 - Compte tenu des développements qui précèdent, le grief du recourant relatif au prétendu vice de notification des décisions de prestations complémentaires sera rejeté.</w:t>
      </w:r>
    </w:p>
    <w:p>
      <w:r>
        <w:rPr>
          <w:b/>
        </w:rPr>
        <w:t>E. 15</w:t>
      </w:r>
    </w:p>
    <w:p>
      <w:r>
        <w:t>Dans une argumentation subsidiaire, le recourant conclut à ce que soit constatée « sa créance en remboursement contre l’intimé pour les montants non payés entre 2001 et 2015 ». Il prie la chambre de céans de constater ainsi l’erreur commise par l’intimé et le préjudice qu’il a subi, afin de pouvoir se prévaloir d’une exception de compensation correspondant à ces montants dans le cadre de la demande en remboursement que lui a adressé l’intimé le 18 juillet 2018. Il fonde sa conclusion sur l’art. 4A al. 1 let. c LPA, à teneur duquel toute personne qui a un intérêt digne de protection peut exiger que l’autorité compétente constate le caractère illicite d’actes fondés sur le droit fédéral, cantonal ou communal et touchant à des droits ou des obligations.</w:t>
      </w:r>
    </w:p>
    <w:p>
      <w:r>
        <w:rPr>
          <w:b/>
        </w:rPr>
        <w:t>E. 16</w:t>
      </w:r>
    </w:p>
    <w:p>
      <w:r>
        <w:t>Selon la jurisprudence, lorsque le justiciable peut obtenir en sa faveur un jugement condamnatoire, la voie de l’action en constatation n’est pas admise ; en ce sens, le droit d'obtenir une décision en constatation est subsidiaire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3ème éd., Berne, 2009, p. 243 ; ATAS/542/2017 du 26 juin 2017 consid. 5).</w:t>
      </w:r>
    </w:p>
    <w:p>
      <w:r>
        <w:rPr>
          <w:b/>
        </w:rPr>
        <w:t>E. 17</w:t>
      </w:r>
    </w:p>
    <w:p>
      <w:r>
        <w:t>En l’espèce, la conclusion constatatoire du recourant doit être déclarée irrecevable. Retenir le contraire reviendrait à considérer qu’il est possible d’éluder les règles sur les délais de recours en prenant des conclusions visant à faire constater une erreur dans une décision qui n’a pas été attaquée dans les délais légaux. En effet, si les décisions de prestations complémentaires de l’intimé avaient été contestées dans les délais, le recourant ne chercherait pas aujourd’hui à faire constater l’erreur qu’a commise l’intimé dans les décisions de prestations complémentaires rendues de 2001 à 2015.</w:t>
      </w:r>
    </w:p>
    <w:p>
      <w:r>
        <w:rPr>
          <w:b/>
        </w:rPr>
        <w:t>E. 18</w:t>
      </w:r>
    </w:p>
    <w:p>
      <w:r>
        <w:t>Partant, le recours sera rejeté, en tant qu’il est recevable. Le recourant, qui succombe, n'a pas droit à des dépens. Pour le surplus, la procédure est gratuite.</w:t>
      </w:r>
    </w:p>
    <w:p>
      <w:r>
        <w:t>A/2761/2018 - 19/19 -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