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ATAS/1092/2016 vom 20. Dezember 2016</w:t>
      </w:r>
    </w:p>
    <w:p>
      <w:r>
        <w:t>GE Cour de justice, 2016-12-20, FR</w:t>
      </w:r>
    </w:p>
    <w:p>
      <w:r>
        <w:rPr>
          <w:b/>
        </w:rPr>
        <w:t xml:space="preserve">Quelle: </w:t>
      </w:r>
      <w:r>
        <w:t>https://mcp.opencaselaw.ch/entscheid/ge_gerichte_ATAS_1092_2016</w:t>
      </w:r>
    </w:p>
    <w:p>
      <w:r>
        <w:t>FR: GE_GERICHTE ATAS/1092/2016 du 20 décembre 2016</w:t>
      </w:r>
    </w:p>
    <w:p>
      <w:r>
        <w:t>IT: GE_GERICHTE ATAS/1092/2016 del 20 dicembre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l’assurée à une rente d’invalidité au-delà du 31 octobre 2013.</w:t>
      </w:r>
    </w:p>
    <w:p>
      <w:r>
        <w:rPr>
          <w:b/>
        </w:rPr>
        <w:t>E. 5</w:t>
      </w:r>
    </w:p>
    <w:p>
      <w:r>
        <w:t>a. À titre liminaire, il y a lieu de rappeler que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b. L’art. 17 al. 1er LPGA dispose que si le taux d’invalidité du bénéficiaire de la rente subit une modification notable, la rente est, d’office ou sur demande, révisée pour l’avenir, à savoir augmentée ou réduite en conséquence, ou encore supprimée.</w:t>
      </w:r>
    </w:p>
    <w:p>
      <w:r>
        <w:t>A/653/2016 - 10/17 -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A/653/2016 - 11/17 -</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w:t>
      </w:r>
    </w:p>
    <w:p>
      <w:r>
        <w:t>A/653/2016 - 12/17 -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w:t>
      </w:r>
    </w:p>
    <w:p>
      <w:r>
        <w:t>A/653/2016 - 13/17 -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w:t>
      </w:r>
    </w:p>
    <w:p>
      <w:r>
        <w:t>A/653/2016 - 14/17 -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arrêt du Tribunal fédéral 8C_760/2011 du 26 janvier 2012 consid. 3).</w:t>
      </w:r>
    </w:p>
    <w:p>
      <w:r>
        <w:rPr>
          <w:b/>
        </w:rPr>
        <w:t>E. 11</w:t>
      </w:r>
    </w:p>
    <w:p>
      <w:r>
        <w:t>En l’espèce, l’OAI a accordé à l’assurée une demi-rente d’invalidité du 1er juin au 31 octobre 2013. Il s’est fondé sur le rapport CEMed du 9 mai 2014, selon lequel les experts ont admis les incapacités de travail ordonnées par les différents médecins traitants jusqu’ici et ont évalué la capacité de travail à 100% dans l’activité exercée préalablement, avec une perte de rendement de 30% liée à la fatigue/fatigabilité et au besoin accru de récupération, ce au vu de la stabilisation de</w:t>
      </w:r>
    </w:p>
    <w:p>
      <w:r>
        <w:t>A/653/2016 - 15/17 - l’affection, de la modification du traitement (remplacement du Rebifl® par du Gilénya) et de l’absence d’éléments restrictifs majeurs à la capacité de travail.</w:t>
      </w:r>
    </w:p>
    <w:p>
      <w:r>
        <w:rPr>
          <w:b/>
        </w:rPr>
        <w:t>E. 12</w:t>
      </w:r>
    </w:p>
    <w:p>
      <w:r>
        <w:t>La question qui se pose préalablement est celle de savoir si ce rapport dispose d’une pleine valeur probante. Force est à cet égard de constater que même si les experts précisent au début de leur rapport que l’expertise a bien été établie après discussion entre eux, et consensus, il n’apparaît pas qu’ils aient pris l’ensemble des atteintes dont ils ont posé le diagnostic pour considérer la capacité de travail raisonnablement exigible. Ils examinent en effet chaque atteinte l’une après l’autre, sans envisager que l’accumulation de ces atteintes puisse avoir des effets sur la capacité de travail. Il est vrai qu’ils relèvent que le diabète, l’hypovitaminose et éventuellement les facteurs psychiques peuvent expliquer, eux aussi, la fatigue, mais semblent oublier ces atteintes lorsqu’ils parlent d’une capacité de travail de 70%, la fixation de ce taux étant uniquement fondée sur le fait que l’évolution de la sclérose en plaques serait stabilisée et que le traitement de Rebifl a été changé. La chambre de céans relève une autre contradiction. Selon les experts, le remplacement du Rebifl par du Gilenya représente l’un des deux « facteurs restrictifs de la capacité de travail sous forme d’une fatigue/fatigabilité ». Or, ils constatent que l’IRM pratiquée début 2013 a mis en évidence l’apparition d’une nouvelle lésion médullaire, ce qui a entraîné la modification du traitement immuno- modulateur avec introduction du Gilenya, parallèlement à l’interruption du Rebifl, mais disent s’étonner que l’assurée continue à se plaindre. On ne comprend pas pour quelles raisons les experts ont retenu une diminution de la capacité de travail de 30%, alors qu’ils admettent les taux retenus par les médecins traitants jusqu’au jour de l’expertise. Ils précisent, dans un premier temps, que la fatigue chronique dont souffre l’assurée est une complication classique de la sclérose en plaques, même en l’absence de poussée, puis se contredisent en concluant que du fait qu’elle n’a plus présenté de poussées depuis 2012, le facteur restrictif de la capacité de travail a clairement diminué, de sorte qu’une capacité de travail de 70% leur paraît raisonnablement exigible. S’agissant de l’aspect psychiatrique, ils estiment que la capacité de travail est complète en temps et en rendement. Ils ajoutent toutefois que « les dépressions récurrentes sont à risque de rechute par définition. Pour une personne ayant souffert de 2 épisodes, le risque de faire un troisième épisode dépressif est d’environ 70% ». Ils relèvent également que « c’est pourquoi elle a diminué l’antidépresseur (Remeron) à 15 mg depuis trois semaines. Malheureusement, cette diminution a eu pour effet que sa symptomatologie dépressive est progressivement revenue » puisqu’« elle se sent déprimée environ trois à quatre jours par semaine. L’intensité est plutôt forte pendant ces journées. En général, elle attribue son état dépressif actuel à ses maladies physiques, la sclérose en plaques et son diabète, à la fausse</w:t>
      </w:r>
    </w:p>
    <w:p>
      <w:r>
        <w:t>A/653/2016 - 16/17 - couche en 2011 et à l’interruption volontaire de grossesse en 2013, et de manière générale au fait que son mari ne veut pas d’enfants, raison pour laquelle elle devra renoncer à ce projet ». Il y a lieu, au vu de ce qui précède, de nier toute valeur probante au rapport d’expertise du 9 mai 2014, les conclusions n’étant ni claires, ni bien motivées.</w:t>
      </w:r>
    </w:p>
    <w:p>
      <w:r>
        <w:rPr>
          <w:b/>
        </w:rPr>
        <w:t>E. 13</w:t>
      </w:r>
    </w:p>
    <w:p>
      <w:r>
        <w:t>Il s’agit à présent d’examiner si l’état de santé de l’assurée s’est suffisamment amélioré pour justifier la suppression de la demi-rente d’invalidité au 31 octobre 2013, étant rappelé qu’il n'y a pas matière à révision lorsque les circonstances sont demeurées inchangées et que le motif de la suppression ou de la diminution de la rente réside uniquement dans une nouvelle appréciation du cas. Il convient ainsi de comparer les faits tels qu’ils se présentaient au moment où le droit à une demi-rente a été reconnu à l’assurée et ceux qui peuvent être constatés au 31 octobre 2013. L’expertise du CEMed n’ayant pas valeur probante, il y a lieu de se référer aux avis des médecins traitants. Ceux-ci sont unanimes pour considérer que la capacité de travail est restée inchangée. Qui plus est, le Dr D______ a indiqué le 7 juillet 2015 que des troubles sphinctériens en relation avec l’affection démyélinisante avaient été mis en évidence et que l’état psychique avait défavorablement évolué. Il a annoncé qu’une IRM cérébrale et médullaire avait été agendée pour le début 2016. Ayant pris connaissance de ces nouveaux éléments, le médecin du SMR a constaté qu’il ne disposait pas d’informations suffisantes de la part du neurologue traitant, mais s’est borné à reprendre ses précédentes conclusions du 8 décembre 2014. Il ne s’est notamment pas prononcé sur les IRM subies par l’assurée en janvier 2016. L’aggravation de l’état psychiatrique pourtant n’a pas non plus été investiguée. La chambre de céans considère toutefois qu’une instruction complémentaire serait inutile dans le cadre du présent litige. Il suffit en effet de constater ici que la capacité de travail de l’assurée est restée en tout cas de 50% à compter du 31 octobre 2013, de sorte que les conditions pour procéder à une révision ne sont pas remplies. L’instruction complémentaire ne servirait qu’à justifier, le cas échéant, l’aggravation de l’état de santé. Aussi la demi-rente d’invalidité doit-elle être maintenue au-delà du 31 octobre 2013. Le recours est ainsi admis et la décision du 5 février 2016 annulée en tant qu’elle limite le droit de l’assurée à la demi-rente au 31 octobre 2013.</w:t>
      </w:r>
    </w:p>
    <w:p>
      <w:r>
        <w:t>A/653/2016 - 17/17 -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