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ATAS/1092/2013 vom 11. November 2013</w:t>
      </w:r>
    </w:p>
    <w:p>
      <w:r>
        <w:t>GE Cour de justice, 2013-11-11, FR</w:t>
      </w:r>
    </w:p>
    <w:p>
      <w:r>
        <w:rPr>
          <w:b/>
        </w:rPr>
        <w:t xml:space="preserve">Quelle: </w:t>
      </w:r>
      <w:r>
        <w:t>https://mcp.opencaselaw.ch/entscheid/ge_gerichte_ATAS_1092_2013</w:t>
      </w:r>
    </w:p>
    <w:p>
      <w:r>
        <w:t>FR: GE_GERICHTE ATAS/1092/2013 du 11 novembre 2013</w:t>
      </w:r>
    </w:p>
    <w:p>
      <w:r>
        <w:t>IT: GE_GERICHTE ATAS/1092/2013 del 11 novembre 2013</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15 décembre 2008. La loi fédérale sur la partie générale du droit des assurances sociales du</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w:t>
      </w:r>
    </w:p>
    <w:p>
      <w:r>
        <w:t>A/638/2012 - 15/20 -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w:t>
      </w:r>
    </w:p>
    <w:p>
      <w:r>
        <w:t>A/638/2012 - 16/20 -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w:t>
      </w:r>
    </w:p>
    <w:p>
      <w:r>
        <w:t>A/638/2012 - 17/20 -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A/638/2012 - 18/20 -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w:t>
      </w:r>
    </w:p>
    <w:p>
      <w:r>
        <w:t>A/638/2012 - 19/20 -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la Cour de céans a ordonné une expertise psychiatrique judiciaire, confiée au Dr N________. Le rapport de celui-ci, du 9 septembre 2013, remplit les critères jurisprudentiels précités pour qu’il lui soit reconnu une pleine valeur probante. En effet, les plaintes du recourant sont prises en compte, tout comme les évaluations psychiatriques des médecins-traitants ; l’expert a mené trois entretiens avec l’assuré ; ses diagnostics sont clairs et bien motivés ; enfin, la conclusion du rapport relativement à la reconnaissance d’une capacité de travail à 100 % du recourant est également bien motivée. La Cour de céans constate que le recourant a été considéré comme apte à travailler à 100 % et cela nonobstant une aggravation de son état de santé reconnu dès 2012, l’expert ayant considéré qu’il disposait de ressources suffisantes pour surmonter ses douleurs. S’agissant du caractère invalidant du trouble somatoforme douloureux, force est de constater qu’il ne saurait être admis, les critères fixés par la jurisprudence ne se manifestant pas, chez le recourant, dans une mesure telle (nonobstant la présence d’affections corporelles chroniques et d’un processus maladif s’étendant sur plusieurs années sans rémission durable) qu’ils permettraient d’exclure l’exigibilité d’un effort de volonté, conclusion à laquelle l’expert est également arrivé. Le recourant n’a pas contesté la valeur probante de l’expertise judiciaire puisqu’il ne s’est pas déterminé à la suite de la remise du rapport d’expertise.</w:t>
      </w:r>
    </w:p>
    <w:p>
      <w:r>
        <w:rPr>
          <w:b/>
        </w:rPr>
        <w:t>E. 11</w:t>
      </w:r>
    </w:p>
    <w:p>
      <w:r>
        <w:t>En conséquence, il convient de suivre la conclusion de l’expertise judiciaire ; le recourant présente ainsi un degré d’invalidité nul, de sorte que la décision de refus de prestations de l’intimé du 8 février 2012 ne peut qu’être confirmée et le recours rejeté. Etant donné que depuis le 1er juillet 2006, la procédure n'est plus gratuite (art. 69 al. 1bis LAI), il y a lieu de condamner le recourant au paiement d'un émolument de 200 fr.</w:t>
      </w:r>
    </w:p>
    <w:p>
      <w:r>
        <w:t>A/638/2012 - 20/20 -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