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ATAS/1091/2013 vom 11. November 2013</w:t>
      </w:r>
    </w:p>
    <w:p>
      <w:r>
        <w:t>GE Cour de justice, 2013-11-11, FR</w:t>
      </w:r>
    </w:p>
    <w:p>
      <w:r>
        <w:rPr>
          <w:b/>
        </w:rPr>
        <w:t xml:space="preserve">Quelle: </w:t>
      </w:r>
      <w:r>
        <w:t>https://mcp.opencaselaw.ch/entscheid/ge_gerichte_ATAS_1091_2013</w:t>
      </w:r>
    </w:p>
    <w:p>
      <w:r>
        <w:t>FR: GE_GERICHTE ATAS/1091/2013 du 11 novembre 2013</w:t>
      </w:r>
    </w:p>
    <w:p>
      <w:r>
        <w:t>IT: GE_GERICHTE ATAS/1091/2013 del 11 novembre 2013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novembre 2012; Que la cause doit être renvoyée à l'intimé pour une instruction complémentaire portant notamment sur les atteintes à la santé de la recourante et la mise en œuvre d'une nouvelle enquête ménagère, puis nouvelle décision; Vu que la recourante obtient gain de cause et qu'elle est représentée par un avocat;</w:t>
      </w:r>
    </w:p>
    <w:p>
      <w:r>
        <w:t>A/922/2013 - 3/3 - Qu'elle a ainsi droit à des dépens fixés à 800 fr.</w:t>
      </w:r>
    </w:p>
    <w:p>
      <w:r>
        <w:t>PAR CES MOTIFS, LA CHAMBRE DES ASSURANCES SOCIALES Statuant d’accord entre les parties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