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ATAS/1090/2019 vom 26. November 2019</w:t>
      </w:r>
    </w:p>
    <w:p>
      <w:r>
        <w:t>GE Cour de justice, 2019-11-26, FR</w:t>
      </w:r>
    </w:p>
    <w:p>
      <w:r>
        <w:rPr>
          <w:b/>
        </w:rPr>
        <w:t xml:space="preserve">Quelle: </w:t>
      </w:r>
      <w:r>
        <w:t>https://mcp.opencaselaw.ch/entscheid/ge_gerichte_ATAS_1090_2019</w:t>
      </w:r>
    </w:p>
    <w:p>
      <w:r>
        <w:t>FR: GE_GERICHTE ATAS/1090/2019 du 26 novembre 2019</w:t>
      </w:r>
    </w:p>
    <w:p>
      <w:r>
        <w:t>IT: GE_GERICHTE ATAS/1090/2019 del 26 novembre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 pose au préalable la question de la recevabilité du recours interjeté le 22 septembre 2019 contre le courrier de l’intimée du 26 juillet 2019.</w:t>
      </w:r>
    </w:p>
    <w:p>
      <w:r>
        <w:rPr>
          <w:b/>
        </w:rPr>
        <w:t>E. 3</w:t>
      </w:r>
    </w:p>
    <w:p>
      <w:r>
        <w:t>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 arrêt du Tribunal fédéral 8C_377/2009 du 18 février 2010 consid. 4.2).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w:t>
      </w:r>
    </w:p>
    <w:p>
      <w:r>
        <w:t>A/3595/2019 - 5/7 -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 arrêt du Tribunal fédéral 8C_377/2009 consid. 4.1).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b. Conformément à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dans un délai de trente jours (art. 56 al. 1 et 60 al. 1 LPGA).</w:t>
      </w:r>
    </w:p>
    <w:p>
      <w:r>
        <w:rPr>
          <w:b/>
        </w:rPr>
        <w:t>E. 4</w:t>
      </w:r>
    </w:p>
    <w:p>
      <w:r>
        <w:t>En l’espèce, dans son courrier du 26 juillet 2019, l’intimée a clairement indiqué au recourant qu’elle entendait mettre un terme au versement des indemnités journalières avec effet au 30 novembre 2019, compte tenu du fait qu’il n’y avait plus lieu d’attendre de la continuation du traitement une amélioration notable des suites de l’accident du 6 janvier 2017. Elle a également mis fin au paiement des soins médicaux avec effet au 31 août 2019. L’éventuel droit à la rente allait être examiné et le droit à l’indemnité pour atteinte à l’intégrité devait être confirmé dans la décision d’attribution. Ainsi que le relève l’intimée, ce courrier ne constitue pas une décision formelle au sens de l’art. 49 al. 1 LPGA. Il n’est pas qualifié comme tel et ne contient pas l’indication des voies de droit. Il s’agit donc d’une simple communication rendue conformément à la procédure simplifiée (art. 51 al. 1 LPGA). Conformément à la jurisprudence précitée, dans la mesure où elle entendait mettre un terme au versement des indemnités journalières et au paiement des soins médicaux, l’intimée aurait dû adresser au recourant une décision en bonne et due forme. Quand bien même la procédure ordinaire n’a pas été suivie, le courrier du 26 juillet 2019 acquière les mêmes effets qu’une décision à l’expiration d’un délai d’un an. Dans ce délai, le recourant peut toutefois contester l’application de la procédure simplifiée et solliciter la notification d’une décision formelle.</w:t>
      </w:r>
    </w:p>
    <w:p>
      <w:r>
        <w:t>A/3595/2019 - 6/7 - Dans son recours du 22 septembre 2019, le recourant a contesté le courrier de l’intimée du 26 juillet 2019. Certes, le recourant n’a pas conclu à la notification d’une décision formelle. Toutefois, au vu de la teneur de son recours, l’intéressé a contesté la stabilisation de son état de santé. Le recours doit ainsi être interprété comme une demande de décision formelle sur la question de la stabilisation du cas et, partant, sur la suppression du paiement des soins médicaux et du versement des indemnités journalières, avec effet au 30 novembre 2019. Cette demande intervient en outre dans le délai d’un an prévu par la jurisprudence. Partant, il y a lieu de déclarer le recours irrecevable, l’intimée étant toutefois invitée à rendre une décision formelle sur les questions de la stabilisation du cas et de la suppression des indemnités journalières, décision contre laquelle le recourant pourra faire valoir ses droits.</w:t>
      </w:r>
    </w:p>
    <w:p>
      <w:r>
        <w:rPr>
          <w:b/>
        </w:rPr>
        <w:t>E. 5</w:t>
      </w:r>
    </w:p>
    <w:p>
      <w:r>
        <w:t>Pour le surplus, la procédure est gratuite. * * * * * *</w:t>
      </w:r>
    </w:p>
    <w:p>
      <w:r>
        <w:t>A/3595/2019 - 7/7 -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