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ATAS/1090/2014 vom 17. Oktober 2014</w:t>
      </w:r>
    </w:p>
    <w:p>
      <w:r>
        <w:t>GE Cour de justice, 2014-10-17, FR</w:t>
      </w:r>
    </w:p>
    <w:p>
      <w:r>
        <w:rPr>
          <w:b/>
        </w:rPr>
        <w:t xml:space="preserve">Quelle: </w:t>
      </w:r>
      <w:r>
        <w:t>https://mcp.opencaselaw.ch/entscheid/ge_gerichte_ATAS_1090_2014</w:t>
      </w:r>
    </w:p>
    <w:p>
      <w:r>
        <w:t>FR: GE_GERICHTE ATAS/1090/2014 du 17 octobre 2014</w:t>
      </w:r>
    </w:p>
    <w:p>
      <w:r>
        <w:t>IT: GE_GERICHTE ATAS/1090/2014 del 17 ottobre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t>A/928/2014 - 10/18 -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25 février 2014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du recourant à une rente invalidité singulièrement sur le taux d’invalidité.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A/928/2014 - 11/18 -</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w:t>
      </w:r>
    </w:p>
    <w:p>
      <w:r>
        <w:t>A/928/2014 - 12/18 -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w:t>
      </w:r>
    </w:p>
    <w:p>
      <w:r>
        <w:t>A/928/2014 - 13/18 -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A/928/2014 - 14/18 -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w:t>
      </w:r>
    </w:p>
    <w:p>
      <w:r>
        <w:rPr>
          <w:b/>
        </w:rPr>
        <w:t>E. 11</w:t>
      </w:r>
    </w:p>
    <w:p>
      <w:r>
        <w:t>En l’espèce, il ressort du dossier que l’assuré souffre de trois atteintes principales à la santé, à savoir le syndrome des jambes sans repos dont il souffre depuis l’âge de 25 ans, une insuffisance rénale chronique (ci-après : IRC) stade 3 sur glomérulonéphrite extra-membraneuse dont il souffre depuis 1994 et les suites d’un AVC de mars 2011. L’assuré est suivi par la Dresse H______ ainsi que par un néphrologue, le Dr I______. Selon celle-là, les trois atteintes ont une incidence sur la capacité de travail, les incidences de chacune des causes n’étant pas précisée. La praticienne a régulièrement attesté de la totale incapacité de travailler de son patient. Le 18 juillet 2013, suite au rapport des EPI, le médecin du SMR avait considéré qu’il était nécessaire d’interpeller les médecins traitants. Le Dr I______ a envoyé son rapport le 23 septembre 2013. Toutefois, il n’a pas indiqué si une reprise de l’activité professionnelle voire une amélioration de la capacité de travail dans une activité autre que celle de vitrier storiste était possible. Il a évoqué des difficultés de concentration et la moindre résistance de son patient liée à l’asthénie. Il a clairement estimé que le diagnostic de glomérulonéphrite avait une incidence sur la capacité de travail, sans clairement la chiffrer. Après avoir mentionné que la reprise de l’ancienne activité ne semblait pas possible, le médecin semble avoir barré sa réponse sans en amener une autre. Sous pronostic, il mentionne une évolution vers une insuffisance rénale terminale, et fait état d’une dialyse ou d’une greffe. Les suites de l’AVC sont principalement traitées par le Dresse H______, laquelle a repris le dossier du Dr B______. Le 9 juillet 2013, elle a indiqué que la reprise d’une activité professionnelle voire une amélioration de la capacité de travail du patient étaient impossibles. Elle a clairement mentionné que celui-ci aimerait pouvoir travailler mais que cela n’était pas envisageable compte tenu de son état physique. Elle a retenu toutes les limitations fonctionnelles, à l’exception de la capacité de compréhension. Aucun rapport médical ne traite spécifiquement du syndrome des jambes sans repos, et de ses conséquences propres sur la capacité de travail.</w:t>
      </w:r>
    </w:p>
    <w:p>
      <w:r>
        <w:t>A/928/2014 - 15/18 - La décision de l’OAI se fonde sur l’évaluation médicale du médecin du SMR du</w:t>
      </w:r>
    </w:p>
    <w:p>
      <w:r>
        <w:rPr>
          <w:b/>
        </w:rPr>
        <w:t>E. 14</w:t>
      </w:r>
    </w:p>
    <w:p>
      <w:r>
        <w:t>Il ressort surtout du rapport des ÉPI du 5 juillet 2013 que sur la période intramuros de la mesure, du 8 avril au 24 mai 2013, l’assuré a été présent trente jours sur trente et un, soit 97%. L’absence était due à une maladie et justifiée par un certificat médical.</w:t>
      </w:r>
    </w:p>
    <w:p>
      <w:r>
        <w:t>A/928/2014 - 16/18 - Toutefois, concernant les stages en entreprise prévus du 27 mai au 7 juillet 2013, l’assuré n’a pas pu les effectuer au vu de la dégradation de son état de santé et n’a pu être présent que deux jours sur trente, soit moins de 1 %. Les vingt-huit jours d’absences étaient dus à une maladie et dûment justifiés par certificat médical. En accord avec l’OAI, il a été sorti des effectifs au terme du mandat, soit le 7 juillet 2013. Le rapport des ÉPI n’a pu porter que sur une évaluation intramuros. L’évaluation extramuros a été rendue impossible, précisément du fait de l’état de santé de l’assuré. Non seulement aucune constatation n’a pu être tirée de cette deuxième partie de stage, mais l’absence de l’assuré tendrait à confirmer une éventuelle incapacité de travail.</w:t>
      </w:r>
    </w:p>
    <w:p>
      <w:r>
        <w:rPr>
          <w:b/>
        </w:rPr>
        <w:t>E. 15</w:t>
      </w:r>
    </w:p>
    <w:p>
      <w:r>
        <w:t>A aucun moment le SMR ne prend des conclusions claires sur le stage aux EPI. Dans le rapport du SMR du 18 juillet 2013, le Dr D______ se limite à mentionner l’incapacité de travail de l’assuré pendant le stage et de relever que les causes ne sont pas clairement documentées. Le rapport SMR du Dr J______ du 14 octobre 2013 se borne à reprendre la même phrase que son confrère pour conclure que du point de vue médico-théorique, rien n’est changé. La décision litigieuse se limite à mentionner le stage d’orientation professionnelle du 8 avril 2013 au 7 juillet 2013, pour retenir une pleine capacité de travail dans une activité adaptée. Cette conclusion n’est pas convaincante dès lors que le stage extramuros de l’assuré n’a tout simplement pas pu avoir lieu, de surcroît pour des raisons médicales.</w:t>
      </w:r>
    </w:p>
    <w:p>
      <w:r>
        <w:rPr>
          <w:b/>
        </w:rPr>
        <w:t>E. 16</w:t>
      </w:r>
    </w:p>
    <w:p>
      <w:r>
        <w:t>Par ailleurs, tant par son comportement au long de la procédure que par son attitude vis-à-vis des traitements, l’assuré a toujours manifesté sa volonté de retravailler et sa motivation à pouvoir se procurer des revenus qui lui permettent de maintenir son niveau de vie. Le médecin-traitant a confirmé la volonté de son patient de reprendre une activité professionnelle compatible avec son état de santé, ce qui tend à confirmer que l’impossibilité de reprendre une activité professionnelle, ou suivre un stage, aurait des causes médicales qu’il convient d’investiguer en détail.</w:t>
      </w:r>
    </w:p>
    <w:p>
      <w:r>
        <w:rPr>
          <w:b/>
        </w:rPr>
        <w:t>E. 17</w:t>
      </w:r>
    </w:p>
    <w:p>
      <w:r>
        <w:t>La chambre de céans constate que le dossier n’a pas été suffisamment instruit sur la capacité de travail de l’assuré dans une activité adaptée à ses limitations fonctionnelles. Les constatations médicales n’ont pas été valablement complétées par des renseignements d’ordre professionnel et n’ont pas permis d'établir concrètement dans quelle mesure l'assuré est à même de mettre en valeur une capacité de travail et de gain sur le marché du travail. Le degré d’invalidité ne pouvant en conséquence être déterminé, il convient de renvoyer le dossier à l’OAI pour complément d’instruction afin de déterminer précisément quelle influence a chacune des trois atteintes à la santé sur la capacité de travail et quelles sont les conséquences sur la capacité de travail du cumul de ces affections. Le bien-fondé d’une nouvelle mesure d'orientation professionnelle</w:t>
      </w:r>
    </w:p>
    <w:p>
      <w:r>
        <w:t>A/928/2014 - 17/18 - auprès des établissements publics pour l'intégration (ci-après ÉPI) devra être analysé en fonction des résultats des investigations médicales.</w:t>
      </w:r>
    </w:p>
    <w:p>
      <w:r>
        <w:rPr>
          <w:b/>
        </w:rPr>
        <w:t>E. 18</w:t>
      </w:r>
    </w:p>
    <w:p>
      <w:r>
        <w:t>Au vu de ce qui précède, le recours sera partiellement admis. La décision litigieuse sera annulée en tant qu’elle refuse au recourant une rente supérieure à un quart de rente. Le dossier sera renvoyé à l’office cantonal de l’assurance invalidité pour déterminer si le droit à une rente supérieure à un quart de rente est réalisé et pour complément d’instruction dans le sens des considérants.</w:t>
      </w:r>
    </w:p>
    <w:p>
      <w:r>
        <w:rPr>
          <w:b/>
        </w:rPr>
        <w:t>E. 19</w:t>
      </w:r>
    </w:p>
    <w:p>
      <w:r>
        <w:t>Etant donné que, depuis le 1er juillet 2006, la procédure n'est plus gratuite (art. 69 al. 1bis LAI), au vu du sort du recours, il y a lieu de condamner l'intimé au paiement d'un émolument de CHF 200.-.</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