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ATAS/1090/2013 vom 11. November 2013</w:t>
      </w:r>
    </w:p>
    <w:p>
      <w:r>
        <w:t>GE Cour de justice, 2013-11-11, FR</w:t>
      </w:r>
    </w:p>
    <w:p>
      <w:r>
        <w:rPr>
          <w:b/>
        </w:rPr>
        <w:t xml:space="preserve">Quelle: </w:t>
      </w:r>
      <w:r>
        <w:t>https://mcp.opencaselaw.ch/entscheid/ge_gerichte_ATAS_1090_2013</w:t>
      </w:r>
    </w:p>
    <w:p>
      <w:r>
        <w:t>FR: GE_GERICHTE ATAS/1090/2013 du 11 novembre 2013</w:t>
      </w:r>
    </w:p>
    <w:p>
      <w:r>
        <w:t>IT: GE_GERICHTE ATAS/1090/2013 del 11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A/1476/2013 - 8/21 -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21 mars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Aux termes de l'art. 60 LPGA, le recours doit être déposé dans les trente jours suivant la notification de la décision sujette à recours (al. 1). Les art. 38 à 41 sont applicables par analogie (al. 2). Les délais en jours ou en mois fixés par la loi ou par l'autorité ne courent pas du 7ème jour avant Pâques au 7ème jour après Pâques inclusivement (art. 38 al. 4 let. a LPGA).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w:t>
      </w:r>
    </w:p>
    <w:p>
      <w:r>
        <w:t>A/1476/2013 - 9/21 - où cela peut être raisonnablement exigé d’elles, les preuves commandées par la nature du litige et des faits invoqués, faute de quoi elles risquent de devoir supporter les conséquences de l’absence de preuves (ATF 125 V 193 consid. 2 et les références). Le devoir du juge de constater les faits pertinents ne dispense donc pas les parties de collaborer à l’administration des preuves en donnant des indications sur les faits de la cause ou en désignant des moyens de preuve (ATF 130 I 174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Le Tribunal fédéral a ainsi statué que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(ATF non publié 9C_632/2012 du 10 janvier 2013, consid. 6.2.1 et les arrêts cités). En l'occurrence, la recourante allègue avoir reçu, en date du 25 mars 2013, la décision litigieuse datée du 21 mars 2013. S'agissant de la notification de la décision précitée, la Cour de céans relèvera que l'intimé n'a pas apporté la preuve de la date à laquelle la recourante l'a reçue. Par ailleurs, dans la mesure où aucune pièce versée au dossier ne laisse supposer que cette décision aurait été reçue à une date antérieure à celle alléguée par la recourante et que, de surcroît, l'intimé ne l'invoque pas, il y a lieu de retenir que le recours, déposé le 7 mai 2013 dans la forme prévue par la loi, est recevable compte tenu de la suspension du délai de recours du 7ème jour avant Pâques au 7ème jour après Pâques inclusivement.</w:t>
      </w:r>
    </w:p>
    <w:p>
      <w:r>
        <w:rPr>
          <w:b/>
        </w:rPr>
        <w:t>E. 5</w:t>
      </w:r>
    </w:p>
    <w:p>
      <w:r>
        <w:t>Le litige porte sur le point de savoir si c'est à juste titre que l'intimé a supprimé le droit de la recourante à toutes les prestations à compter du 1er février 2012, étant précisé que la recourante ne conteste pas le versement d'une rente entière dès le 1er décembre 2009.</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w:t>
      </w:r>
    </w:p>
    <w:p>
      <w:r>
        <w:t>A/1476/2013 - 10/21 -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A/1476/2013 - 11/21 -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RCC 1988 p. 504 consid.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w:t>
      </w:r>
    </w:p>
    <w:p>
      <w:r>
        <w:t>A/1476/2013 - 12/21 -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l’occurrence, l'intimé a retenu, en se fondant sur l'appréciation du Dr T__________, que la recourante présentait dès le 18 novembre 2008, en raison de ses atteintes à la santé, une incapacité de travail totale, puis dès le 17 octobre 2011, une capacité de travail entière dans une activité adaptée, avec une baisse de rendement de 25%. La recourante est d'avis que la baisse de rendement de 25 % aurait dû faire l'objet d'une instruction complémentaire. Dans son rapport du 18 octobre 2011, le Dr T__________, spécialiste FMH en médecine interne et rhumatologie, a diagnostiqué des douleurs neurogènes chroniques des deux poignets et des deux mains dans le contexte d'un status après cure de canal carpien à deux reprises des deux côtés, après transposition du nerf cubital au coude droit, après fracture de l'épiphyse distale des deux radius et après discectomie C5-C6 et C6-C7 et mise en place de deux cages intervertébrales en janvier 2011. L’expert a expliqué que ces atteintes avaient des répercussions sur la capacité de travail de la recourante, en raison des douleurs neurogènes chroniques des deux membres supérieurs au niveau des mains qui limitaient ses efforts de préhension, les mouvements répétitifs avec les poignets, les ports de charges et les mouvements nécessitant une dextérité fine. L'activité habituelle n'était plus exigible, mais dans une activité adaptée aux limitations fonctionnelles, soit les travaux ne nécessitant pas des efforts de préhension importants et répétitifs, ni des mouvements en flexion-extension des deux poignets, ni une dextérité fine et des mouvements rapides avec les doigts, l'expert a estimé que la recourante avait une capacité de travail entière, mais avec un rendement diminué de 25%. La Cour de céans constate que l’expertise du Dr T__________ repose sur un examen de la recourante effectué le 17 octobre 2011 et l’étude de son dossier médical. L’anamnèse est détaillée et les plaintes de la recourante ont été prises en considération. L’expertise est en outre très bien motivée puisqu’elle explique pourquoi l’expert a retenu les diagnostics précités, leurs répercussions sur la capacité de travail de la recourante et sur son rendement. Ses conclusions sont ainsi dûment motivées. Il y a donc lieu de reconnaître une valeur probante entière à ce rapport d’expertise, ce que les parties ne contestent pas au demeurant.</w:t>
      </w:r>
    </w:p>
    <w:p>
      <w:r>
        <w:t>A/1476/2013 - 13/21 - S'agissant de la baisse de rendement de 25% retenue par le Dr T__________, le SMR, dans son avis du 22 novembre 2011, a certes indiqué, comme le mentionne la recourante, qu'elle restait à vérifier probablement par mise en situation. Cela étant, à la lecture de cet avis, il apparaît que la vérification du rendement se justifiait dans le cas où un renforcement du traitement antalgique pour les douleurs neurogènes serait exigé de la part de la recourante, car celui-ci pouvait réduire le dommage. Or, il n'apparaît pas au dossier qu'une telle mesure ait été mise en place. Par ailleurs, on rappellera que la diminution de rendement relève spécifiquement de l'évaluation médicale de la capacité résiduelle de travail (voir ATF non publié 9C_289/2012 du</w:t>
      </w:r>
    </w:p>
    <w:p>
      <w:r>
        <w:rPr>
          <w:b/>
        </w:rPr>
        <w:t>E. 15</w:t>
      </w:r>
    </w:p>
    <w:p>
      <w:r>
        <w:t>Reste encore à analyser le droit à des mesures de réadaptation professionnelle.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w:t>
      </w:r>
    </w:p>
    <w:p>
      <w:r>
        <w:t>A/1476/2013 - 19/21 -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16</w:t>
      </w:r>
    </w:p>
    <w:p>
      <w:r>
        <w:t>En l'occurrence, la décision litigieuse se contente de mentionner que des mesures professionnelles ne sont pas indiquées et que l'intimé, sur demande écrite et motivée de la recourante, pourra examiner le droit à une aide au placement. Par ailleurs, force est de constater que dans le cadre de l'instruction du dossier, et suite à l'expertise rendue par le Dr T__________, la recourante n'a jamais été reçue par le service de réadaptation de l'intimé, alors que des mesures de réadaptation étaient pourtant envisageables de suite (rapport du Dr T__________ du 18 octobre 2011). Ainsi, attendu que l'instruction du dossier n'a pas porté sur la question d'une mesure de réadaptation, il y a lieu de renvoyer la cause à l'intimé pour qu'il instruise les conditions objectives et subjectives d'une telle mesure et qu'il rende une nouvelle décision. La décision litigieuse sera par conséquent annulée en tant qu'elle nie le droit de la recourante à des mesures professionnelles.</w:t>
      </w:r>
    </w:p>
    <w:p>
      <w:r>
        <w:rPr>
          <w:b/>
        </w:rPr>
        <w:t>E. 17</w:t>
      </w:r>
    </w:p>
    <w:p>
      <w:r>
        <w:t>Le recours sera donc admis partiellement et la décision litigieuse annulée en tant qu'elle refuse le droit à des mesures professionnelles, la cause étant renvoyée pour instruction sur ce point et nouvelle décision. La décision litigieuse sera par ailleurs</w:t>
      </w:r>
    </w:p>
    <w:p>
      <w:r>
        <w:t>A/1476/2013 - 20/21 - confirmée en tant qu'elle octroie à la recourante une rente entière du 1er décembre 2009 au 31 janvier 2012.</w:t>
      </w:r>
    </w:p>
    <w:p>
      <w:r>
        <w:rPr>
          <w:b/>
        </w:rPr>
        <w:t>E. 18</w:t>
      </w:r>
    </w:p>
    <w:p>
      <w:r>
        <w:t>La recourante, représentée par un conseil et obtenant partiellement gain de cause, une indemnité de 1'500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500 fr. sera mis à la charge de l'intimé.</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