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ATAS/108/2025 vom 19. Februar 2025</w:t>
      </w:r>
    </w:p>
    <w:p>
      <w:r>
        <w:t>GE Cour de justice, 2025-02-19, FR</w:t>
      </w:r>
    </w:p>
    <w:p>
      <w:r>
        <w:rPr>
          <w:b/>
        </w:rPr>
        <w:t xml:space="preserve">Quelle: </w:t>
      </w:r>
      <w:r>
        <w:t>https://mcp.opencaselaw.ch/entscheid/ge_gerichte_ATAS_108_2025</w:t>
      </w:r>
    </w:p>
    <w:p>
      <w:r>
        <w:t>FR: GE_GERICHTE ATAS/108/2025 du 19 février 2025</w:t>
      </w:r>
    </w:p>
    <w:p>
      <w:r>
        <w:t>IT: GE_GERICHTE ATAS/108/2025 del 19 febbraio 2025</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en temps utile, le recours est recevable (art. 60 al. 1 LPGA).</w:t>
      </w:r>
    </w:p>
    <w:p>
      <w:r>
        <w:rPr>
          <w:b/>
        </w:rPr>
        <w:t>E. 2</w:t>
      </w:r>
    </w:p>
    <w:p>
      <w:r>
        <w:t>Interjeté dans la forme et le délai prévus par la loi, le recours est recevable (art. 56 ss LPGA et 62 ss LPA).</w:t>
      </w:r>
    </w:p>
    <w:p>
      <w:r>
        <w:rPr>
          <w:b/>
        </w:rPr>
        <w:t>E. 3</w:t>
      </w:r>
    </w:p>
    <w:p>
      <w:r>
        <w:t>Le litige porte sur le bien-fondé de la décision de l’intimé déclarant l'opposition irrecevable pour cause de tardiveté.</w:t>
      </w:r>
    </w:p>
    <w:p>
      <w:r>
        <w:rPr>
          <w:b/>
        </w:rPr>
        <w:t>E. 4.1</w:t>
      </w:r>
    </w:p>
    <w:p>
      <w:r>
        <w:t>Selon l'art. 52 al. 1 LPGA, les décisions peuvent être attaquées dans les trente jours par voie d'opposition auprès de l'assureur qui les a rendues. L’art. 38 al. 1 LPGA stipule que si le délai, compté par jours ou par mois, doit être communiqué aux parties, il commence à courir le lendemain de la communication. Selon l’art. 38 al. 3 LPGA, lorsque le délai échoit un samedi, un dimanche ou un jour férié selon le droit fédéral ou cantonal, son terme est reporté au premier jour ouvrable qui suit (cf. également art. 17 LPA). En vertu de l’art. 40 al. 1 LPGA, le délai légal ne peut être prolongé.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Selon la jurisprudence, une décision ou une communication de procédure est considérée comme étant notifiée, non pas au moment où le justiciable en prend connaissance, mais le jour où elle est dûment communiquée; s'agissant d'un acte</w:t>
      </w:r>
    </w:p>
    <w:p>
      <w:r>
        <w:t>A/2982/2024 - 6/9 -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 KNAPP, Précis de droit administratif, 4e éd. n° 704 p. 153 ; KÖLZ / HÄNER, Verwaltungsverfahren und Verwaltungsrechtspflege des Bundes, 2e éd. n° 341 p. 123). La constatation de la notification d’un pli adressé en courrier simple peut être admise sur la base d’indices ressortant d’un ensemble de faits concordants (arrêt du Tribunal fédéral 2C_836/2018 paru in SJ 2019 I 288)</w:t>
      </w:r>
    </w:p>
    <w:p>
      <w:r>
        <w:rPr>
          <w:b/>
        </w:rPr>
        <w:t>E. 5</w:t>
      </w:r>
    </w:p>
    <w:p>
      <w:r>
        <w:t>En l’espèce, la recourante ne conteste pas avoir formé opposition tardivement à la décision du 23 mai 2024, reste à examiner si une restitution de délai peut être accordée.</w:t>
      </w:r>
    </w:p>
    <w:p>
      <w:r>
        <w:rPr>
          <w:b/>
        </w:rPr>
        <w:t>E. 5.1</w:t>
      </w:r>
    </w:p>
    <w:p>
      <w:r>
        <w:t>Tel peut être le cas,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du Tribunal fédéral 5A_149/2013 du 10 juin 2013 consid. 5.1.1 et les références citées ; 5A_896/2012 du 10 janvier 2013 consid. 3.2 ; 5A_30/2010 du 23 mars 2010 consid. 4.1 et les références citées ; GILLIÉRON, Commentaire de la loi fédérale sur la poursuite pour dettes et la faillite, t. I, 1999, n° 40 ad art. 33 LP). Un empêchement non fautif a notamment été admis en cas de soudaine incapacité de discernement, de maladie grave et subite, d'accident ou de perte d'un proche. L'empêchement perdure aussi longtemps que l'intéressé n'est pas en mesure - compte tenu de son état physique ou mental - d'agir en personne ou d'en charger un tiers (ATF 119 II 86 consid. 2a ; arrêts 5A_383/2012 du 23 mai 2012 consid. 2.2 ; 5A_30/2010 du 23 mars 2012 consid. 4.1 ; 5A_566/2007 du 26 novembre 2007 consid. 3).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w:t>
      </w:r>
    </w:p>
    <w:p>
      <w:r>
        <w:t>A/2982/2024 - 7/9 - nom dans le délai (ATF 119 II 86 consid. 2 p. 87, 112 V 255 ; arrêt du Tribunal fédéral 8C_767/2008 du 12 janvier 2009 consid. 5.3.1). Dans un arrêt 8C_538/2017 du 30 novembre 2017 concernant une personne ayant fait valoir que depuis un accident, elle n'arrivait plus à gérer son quotidien, qu’elle avait du mal à gérer seule ses affaires et que les personnes qui l'assistaient habituellement n'avaient pas pu lui prêter leur concours pour contester une décision, car elles étaient absentes, le Tribunal fédéral a considéré que les rapports médicaux présents au dossier – dont aucun ne faisait état d'une incapacité de discernement – ne décrivaient pas des troubles qui, par leur gravité, étaient susceptibles d'empêcher cette personne de contester la décision pendant toute la durée du délai d'opposition de 30 jours. De plus, la personne en cause avait été en mesure, durant ce même délai, de requérir par téléphone la transmission de ses trois dernières fiches de salaire. On pouvait donc admettre qu'elle était capable de procéder à des actes de gestion administrative sans être empêchée par son état de santé déficient (cf. arrêt du Tribunal fédéral 5A_896/2012 du 10 janvier 2013 consid. 3.4). De plus, après avoir pris connaissance de la décision litigieuse, elle s'était rendue dans les locaux de l’assurance afin de s'y opposer. Cette circonstance tendait à démontrer qu'elle était capable de saisir la portée d'une telle décision, qu'elle avait compris la nécessité de s'y opposer et était consciente qu'elle devait agir dans un délai de 30 jours. Son état de santé ne l'empêchait pas de recourir à temps aux services d'un tiers. Dans un arrêt 5A_896/2012 du 10 janvier 2013, le Tribunal fédéral a confirmé l’appréciation d’une Cour cantonale, qui avait considéré – sur la base notamment d’un certificat médical qui attestait d’un léger retard mental et de graves problèmes médicaux diminuant les facultés de discernement de la recourante – que celle-ci n'avait fait l'objet d'aucune mesure tutélaire, qu'elle avait été en mesure de charger sa cousine de gérer ses affaires et que sa méconnaissance du droit ne constituait pas un motif de restitution du délai. La recourante avait été en mesure, dans le délai pour former opposition, de requérir, par téléphone puis par courrier, que des bulletins de versements lui soient envoyés. Cette appréciation ne prêtait pas le flanc à la critique, selon le Tribunal fédéral. En effet, la recourante avait procédé durant cette période à des actes de gestion de ses affaires sans être empêchée par sa maladie. S'agissant de l'atteinte à sa capacité de discernement, il y avait lieu de relever que, si le certificat médical produit en instance cantonale mentionnait que les facultés de la recourante étaient diminuées, celle-ci n'avait à ce jour jamais été mise au bénéfice d'une mesure tutélaire ni ne prétendait que des démarches auraient été entreprises en ce sens. Dans ces circonstances, l'erreur de la recourante, qui n'avait pas contesté l'existence des créances poursuivies dans le délai d'opposition, n’était pas excusable.</w:t>
      </w:r>
    </w:p>
    <w:p>
      <w:r>
        <w:rPr>
          <w:b/>
        </w:rPr>
        <w:t>E. 5.2</w:t>
      </w:r>
    </w:p>
    <w:p>
      <w:r>
        <w:t>En l'espèce, les explications de la recourante ainsi que les rapports médicaux produits n’établissent pas, au degré de la vraisemblance prépondérante, qu’elle était incapable de former opposition dans le délai légal suite à la notification de la</w:t>
      </w:r>
    </w:p>
    <w:p>
      <w:r>
        <w:t>A/2982/2024 - 8/9 - décision du 23 mai 2024. Il y a lieu de retenir que son état de santé ne lui ôtait pas son discernement et qu’elle aurait pu requérir l’aide de ses parents, avec lesquels elle résidait, étant relevé qu’elle ne conteste pas avoir pris connaissance de la décision d’inaptitude avant l’échéance du délai d’opposition. Il apparaît que son état s’est plutôt amélioré dès avril 2024, puisqu’elle avait pu effectuer huit recherches d’emploi et faire acte de candidature durant ce mois et qu’elle a été capable de faire dix recherches d’emploi en mai et juin 2024. Dans ces circonstances, et vu la jurisprudence restrictive en la matière, le non-respect du délai d'opposition n’apparaît pas excusable, au sens de l’art. 41 LPGA.</w:t>
      </w:r>
    </w:p>
    <w:p>
      <w:r>
        <w:rPr>
          <w:b/>
        </w:rPr>
        <w:t>E. 6</w:t>
      </w:r>
    </w:p>
    <w:p>
      <w:r>
        <w:t>En conséquence, c’est à juste titre que l’intimé a déclaré irrecevable l’opposition formée le 23 juillet 2024 par la recourante pour cause de tardiveté.</w:t>
      </w:r>
    </w:p>
    <w:p>
      <w:r>
        <w:rPr>
          <w:b/>
        </w:rPr>
        <w:t>E. 7</w:t>
      </w:r>
    </w:p>
    <w:p>
      <w:r>
        <w:t>La procédure est gratuite (art. 61 let. a LPGA).</w:t>
      </w:r>
    </w:p>
    <w:p>
      <w:r>
        <w:t>A/2982/2024 - 9/9 -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