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ATAS/108/2023 vom 16. Februar 2023</w:t>
      </w:r>
    </w:p>
    <w:p>
      <w:r>
        <w:t>GE Cour de justice, 2023-02-16, FR</w:t>
      </w:r>
    </w:p>
    <w:p>
      <w:r>
        <w:rPr>
          <w:b/>
        </w:rPr>
        <w:t xml:space="preserve">Quelle: </w:t>
      </w:r>
      <w:r>
        <w:t>https://mcp.opencaselaw.ch/entscheid/ge_gerichte_ATAS_108_2023</w:t>
      </w:r>
    </w:p>
    <w:p>
      <w:r>
        <w:t>FR: GE_GERICHTE ATAS/108/2023 du 16 février 2023</w:t>
      </w:r>
    </w:p>
    <w:p>
      <w:r>
        <w:t>IT: GE_GERICHTE ATAS/108/2023 del 16 febbraio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Se pose en premier lieu la question de la recevabilité du recours interjeté le 29 novembre 2022 contre la décision du 10 juin 2022, question examinée d’office (voir ATAS/495/2016 du 23 juin 2016 consid. 5).</w:t>
      </w:r>
    </w:p>
    <w:p>
      <w:r>
        <w:rPr>
          <w:b/>
        </w:rPr>
        <w:t>E. 2.1</w:t>
      </w:r>
    </w:p>
    <w:p>
      <w:r>
        <w:t>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w:t>
      </w:r>
    </w:p>
    <w:p>
      <w:r>
        <w:t>A/4430/2022 - 4/6 -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rPr>
          <w:b/>
        </w:rPr>
        <w:t>E. 2.2</w:t>
      </w:r>
    </w:p>
    <w:p>
      <w:r>
        <w:t>La décision qui n'est remise que contre la signature du destinataire ou d'un tiers habilité est réputée reçue au plus tard sept jours après la première tentative infructueuse de distribution (art. 38 al. 2bis LPGA et 62 al. 4 LPA).</w:t>
      </w:r>
    </w:p>
    <w:p>
      <w:r>
        <w:rPr>
          <w:b/>
        </w:rPr>
        <w:t>E. 2.3</w:t>
      </w:r>
    </w:p>
    <w:p>
      <w:r>
        <w:t>En vertu de l'art. 16 al. 1 LPA, le délai légal ne peut être prolongé (cf. également art. 40 al. 1 LPGA). Il s'agit là de dispositions impératives auxquelles il ne peut être dérogé (ATF 119 II 87 ; 112 V 256).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2.4</w:t>
      </w:r>
    </w:p>
    <w:p>
      <w:r>
        <w:t>En l’espèce, il est patent que le recours a été interjeté bien après l’échéance du délai de recours – le 24 janvier 2022, contre une décision notifiée fin octobre 2021 et retournée à l’intimé le 4 novembre 2021. Il a donc été interjeté tardivement. Se pose dès lors la question d’une possible restitution du délai de recours.</w:t>
      </w:r>
    </w:p>
    <w:p>
      <w:r>
        <w:rPr>
          <w:b/>
        </w:rPr>
        <w:t>E. 3.1</w:t>
      </w:r>
    </w:p>
    <w:p>
      <w:r>
        <w:t>Aux termes de l'art. 41 LPGA (applicable selon les art. 3 let. dbis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3.2</w:t>
      </w:r>
    </w:p>
    <w:p>
      <w:r>
        <w:t>L'art. 41 al. 1 LPGA subordonne la restitution à l'absence de toute faute quelconque. Par « empêchement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Ces circonstances doivent toutefois être appréciées objectivement : est non fautive toute circonstance qui aurait empêché un plaideur – respectivement un mandataire – consciencieux d'agir dans le délai fixé (arrêt du Tribunal fédéral 9C_54/2017 du 2 juin 2017 consid. 2.2).</w:t>
      </w:r>
    </w:p>
    <w:p>
      <w:r>
        <w:t>A/4430/2022 - 5/6 -</w:t>
      </w:r>
    </w:p>
    <w:p>
      <w:r>
        <w:rPr>
          <w:b/>
        </w:rPr>
        <w:t>E. 3.3</w:t>
      </w:r>
    </w:p>
    <w:p>
      <w:r>
        <w:t>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l'art. 50 al. 1 de la loi fédérale sur le Tribunal fédéral, du 17 juin 2005 (LTF - RS 173.110) lorsqu'aucun reproche ne peut être formulé à l'encontre de la partie ou de son mandataire (arrêt du Tribunal fédéral 1F_32/2019 du 18 juillet 2019 consid. 2 et la référence).</w:t>
      </w:r>
    </w:p>
    <w:p>
      <w:r>
        <w:rPr>
          <w:b/>
        </w:rPr>
        <w:t>E. 4</w:t>
      </w:r>
    </w:p>
    <w:p>
      <w:r>
        <w:t>En l’occurrence, il n’est pas contesté que le recours a été interjeté tardivement. Le représentant de la société argue que, préoccupé par les difficultés financières de l’entreprise, il n’a pas été retirer à temps la décision notifiée et n’a ainsi pu interjeter recours en temps utile. Cette explication ne saurait toutefois suffire à admettre, en l’occurrence, l’existence d’un motif valable de restitution du délai de recours. En effet, même si l’on peut comprendre que l’intéressé, préoccupé par le sort de son entreprise, ait choisi de donner la priorité aux moyens de sauvegarder l’existence de celle-ci, ceci ne peut être considéré comme une impossibilité objective ou de force majeure, pas plus que comme une impossibilité subjective due à une erreur excusable au sens de la jurisprudence. C’est le lieu de rappeler pour le surplus que,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118 II 44 consid. 3b, 115 Ia 17 ; André GRISEL, Traité de droit administratif, p. 876 et la jurisprudence citée ; Blaise KNAPP, Précis de droit administratif, 4ème éd., n° 704 p. 153 ; Alfred KÖLZ/Isabelle HÄNER Verwaltungsverfahren und Verwaltungsrechtspflege des Bundes, 2ème éd., n°341 p. 123). Une communication qui n'est remise que contre la signature du destinataire ou d'un tiers habilité est réputée reçue au plus tard sept jours après la première tentative infructueuse de distribution (cf. art. 38 al. 2bis LPGA). Selon la jurisprudence, le délai de garde de sept jours n'est pas prolongé lorsque La Poste Suisse permet de retirer le courrier dans un délai plus long, par exemple à la suite d'une demande de garde, voire de prolongation du délai de retrait. En effet, des accords particuliers avec La Poste Suisse ne permettent pas de repousser</w:t>
      </w:r>
    </w:p>
    <w:p>
      <w:r>
        <w:t>A/4430/2022 - 6/6 - l'échéance de la notification, réputée intervenue à l'échéance du délai de sept jours (ATF 141 II 429 consid. 3.1 et 3.3 et les références). Il ressort de ce qui précède que, vu l’absence de motif valable de restitution de délai,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