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ATAS/108/2010 vom 17. März 2009</w:t>
      </w:r>
    </w:p>
    <w:p>
      <w:r>
        <w:t>GE Cour de justice, 2009-03-17, FR</w:t>
      </w:r>
    </w:p>
    <w:p>
      <w:r>
        <w:rPr>
          <w:b/>
        </w:rPr>
        <w:t xml:space="preserve">Quelle: </w:t>
      </w:r>
      <w:r>
        <w:t>https://mcp.opencaselaw.ch/entscheid/ge_gerichte_ATAS_108_2010</w:t>
      </w:r>
    </w:p>
    <w:p>
      <w:r>
        <w:t>FR: GE_GERICHTE ATAS/108/2010 du 17 mars 2009</w:t>
      </w:r>
    </w:p>
    <w:p>
      <w:r>
        <w:t>IT: GE_GERICHTE ATAS/108/2010 del 17 marzo 2009</w:t>
      </w:r>
    </w:p>
    <w:p>
      <w:pPr>
        <w:pStyle w:val="Heading2"/>
      </w:pPr>
      <w:r>
        <w:t>Regeste</w:t>
      </w:r>
    </w:p>
    <w:p>
      <w:r>
        <w:t>Résumé: En matière de partage de prestations LPP en cas de divorce prononcé à l'étranger, il incombe au Tribunal cantonal des assurances sociales, de se prononcer à titre préalable sur la reconnaissance en Suisse dudit jugement sous l'angle du partage et, en particulier, d'en examiner la compatibilité avec l'ordre public. Tel est le cas si la clé de répartition retenue par le juge étranger est proche de celle prévue par l'article 122 CC. S'agissant du versement de la prestation de libre passage, elle peut intervenir sans pour autant être déposée sur un compte de libre passage, seulement si l'intéressé a cessé d'être assujetti à l'assurance obligatoire d'un Etat membre.</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w:t>
      </w:r>
    </w:p>
    <w:p>
      <w:r>
        <w:t>A/2290/2009 3/7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Tribunal de grande instance de Dôle a prononcé le divorce des époux et a fixé à 22'970 fr. 65 le montant des avoirs LPP que le demandeur doit verser à son ex-épouse.</w:t>
      </w:r>
    </w:p>
    <w:p>
      <w:r>
        <w:rPr>
          <w:b/>
        </w:rPr>
        <w:t>E. 4</w:t>
      </w:r>
    </w:p>
    <w:p>
      <w:r>
        <w:t>La reconnaissance de jugements de divorce étrangers est régie en général par les art. 25 à 27 de la loi fédérale du 18 décembre 1987 sur le droit international privé (LDIP). Selon l'art. 25 LDIP, une décision étrangère est reconnue en Suisse : a. si la compétence des autorités judiciaires ou administratives de l’Etat dans lequel la décision a été rendue était donnée;</w:t>
      </w:r>
    </w:p>
    <w:p>
      <w:r>
        <w:t>b. si la décision n’est plus susceptible de recours ordinaire ou si elle est définitive;</w:t>
      </w:r>
    </w:p>
    <w:p>
      <w:r>
        <w:t>c. s’il n’y a pas de motif de refus au sens de l’art. 27. L'art. 27 LDIP précise que la reconnaissance d’une décision étrangère doit être refusée en Suisse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w:t>
      </w:r>
    </w:p>
    <w:p>
      <w:r>
        <w:t>b. que la décision a été rendue en violation de principes fondamentaux ressortissant à la conception suisse du droit de procédure, notamment que ladite partie n’a pas eu la possibilité de faire valoir ses moyens;</w:t>
      </w:r>
    </w:p>
    <w:p>
      <w:r>
        <w:t>c. qu’un litige entre les mêmes parties et sur le même objet a déjà été introduit en Suisse ou y a déjà été jugé, ou qu’il a précédemment été jugé dans un Etat tiers,</w:t>
      </w:r>
    </w:p>
    <w:p>
      <w:r>
        <w:t>A/2290/2009 4/7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w:t>
      </w:r>
    </w:p>
    <w:p>
      <w:r>
        <w:t>b. d’une attestation constatant que la décision n’est plus susceptible de recours ordinaire ou qu’elle est définitive, et</w:t>
      </w:r>
    </w:p>
    <w:p>
      <w:r>
        <w:t>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w:t>
      </w:r>
    </w:p>
    <w:p>
      <w:r>
        <w:rPr>
          <w:b/>
        </w:rPr>
        <w:t>E. 5</w:t>
      </w:r>
    </w:p>
    <w:p>
      <w:r>
        <w:t>Il appartient ainsi au Tribunal de céans de statuer, à titre préjudiciel, sur la reconnaissance en Suisse du jugement de divorce rendu le 17 mars 2009 par le Tribunal de grande instance de Dôle et devenu exécutoire le 4 avril 2009.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w:t>
      </w:r>
    </w:p>
    <w:p>
      <w:r>
        <w:rPr>
          <w:b/>
        </w:rPr>
        <w:t>E. 6</w:t>
      </w:r>
    </w:p>
    <w:p>
      <w:r>
        <w:t>La reconnaissance d'une décision relative à la prévoyance professionnelle doit être compatible avec l'ordre public suisse (art. 27 al. 1 LDIP).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w:t>
      </w:r>
    </w:p>
    <w:p>
      <w:r>
        <w:t>A/2290/2009 5/7 d'être entendu (ATF 126 III 101 consid. 3b p. 107/108 ; 122 III 344 consid. 4a p. 348/349 et les références ; ATF 5C.24/2000).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7</w:t>
      </w:r>
    </w:p>
    <w:p>
      <w:r>
        <w:t>En l'espèce, le jugement de divorce est devenu définitif, dès lors que les demandeurs y ont acquiescé, soit le 4 avril 2009 pour le dernier d'entre eux.</w:t>
      </w:r>
    </w:p>
    <w:p>
      <w:r>
        <w:t>Selon les indications fournies par la Caisse, les avoirs acquis par le demandeur s'élèvent au 31 mars 2009 à 53'684 fr. 10. Il y a lieu d'en déduire les avoirs LPP avant le mariage de 4'777 fr. 35, ce qui donne une prestation de sortie de 48'906 fr. 75. L'institution de prévoyance a attesté du caractère réalisable de la prestation. Il appert des documents versés au dossier que le juge français a tenu compte de la situation respective des époux en matière de pensions de retraites et notamment du montant des avoirs LPP accumulés par le demandeur auprès de son institution de prévoyance, pour fixer le montant de la prestation compensatoire due à la demanderesse. Aux termes de l'art. 122 CC : "1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2 Lorsque les conjoints ont des créances réciproques, seule la différence entre ces deux créances doit être partagée". Le Tribunal de céans relève à cet égard qu'en retenant le montant de 22'970 fr. 65, le juge français est resté proche de la clé de répartition prévue par l'art. 122 CC. Ce montant correspond en effet, à peu de choses près, à la moitié de la prestation de sortie à partager, soit 48'906 fr. 75. Il n'apparaît pas dès lors que l'ordre public, lequel s'interprète au demeurant de manière restrictive, serait violé. Au vu de ce qui précède et aucun des demandeurs ne s'y opposant, il y a lieu de reconnaître le jugement rendu par le Tribunal de grande instance de Dôle et d'exécuter le partage ordonné par le juge français, soit le versement d'un montant de 22'970 fr. 65 en faveur de la demanderesse.</w:t>
      </w:r>
    </w:p>
    <w:p>
      <w:r>
        <w:rPr>
          <w:b/>
        </w:rPr>
        <w:t>E. 9</w:t>
      </w:r>
    </w:p>
    <w:p>
      <w:r>
        <w:t>La demanderesse étant domiciliée en France, reste à déterminer si le montant qui lui est dû peut lui être versé en espèces ou s'il doit l'être sur un compte de libre passage ouvert auprès d'une institution de prévoyance suisse.</w:t>
      </w:r>
    </w:p>
    <w:p>
      <w:r>
        <w:t>A/2290/2009 6/7 Conformément à l'Accord sur la libre circulation des personnes (ALCP; art. 8 et annexe II), ce sont principalement les règlements CEE nos 1408/71 et 574/72 qui s'appliquent à la sécurité sociale suisse, donc à la prévoyance professionnelle obligatoire. Les principes fondamentaux sur lesquels ils sont fondés - l'égalité de traitement et l'exportation des prestations, notamment - ne posent pas de problème particulier puisque la LPP n'est pas discriminatoire et qu'elle ne contient aucune disposition imposant le paiement des rentes sur le seul territoire suisse. Le versement en espèces de la prestation de libre passage en cas de cessation d'assujettissement en Suisse (art. 5 al. 1 let. a LFLP) subit en revanche quelques restrictions. En effet, le règlement CEE n° 1408/71 interdit le versement en espèces lorsque l'assuré qui quitte la Suisse (ou qui cesse d'y être assujetti) est assujetti à l'assurance obligatoire d'un État membre de l'UE ou de l'AELE (cf. art. 10 al. 2 du règlement 1408/71 aux termes duquel : "Si la législation d'un État membre subordonne le remboursement de cotisations à la condition que l'intéressé ait cessé d'être assujetti à l'assurance obligatoire, cette condition n'est pas réputée remplie tant que l'intéressé est assujetti à l'assurance obligatoire en vertu de la législation d'un autre État membre"). Il en résulte que la partie obligatoire de la prestation de sortie doit alors être déposée sur une police ou sur un compte de libre passage (cf. également, sur ce point, le Bulletin de la prévoyance professionnelle n°96 du 18 décembre 2006). Seuls les ex-époux n'ayant jamais eu de lien avec la Suisse peuvent donc se voir sans autre verser l'avoir en espèces car ils ne tombent alors pas sous le coup de l'art. 10 du règlement 1408/07, lequel ne s'applique qu'en cas de "cessation d'assujettissement". Tel est le cas en l'espèce, la demanderesse n'ayant jamais cotisé en Suisse et n'ayant jamais été affiliée au système de prévoyance professionnelle suisse. Le montant de 22'970 fr. 65 peut par conséquent lui être versé en espèces.</w:t>
      </w:r>
    </w:p>
    <w:p>
      <w:r>
        <w:t>***</w:t>
      </w:r>
    </w:p>
    <w:p>
      <w:r>
        <w:t>A/2290/2009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