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ATAS/1089/2014 vom 17. Oktober 2014</w:t>
      </w:r>
    </w:p>
    <w:p>
      <w:r>
        <w:t>GE Cour de justice, 2014-10-17, FR</w:t>
      </w:r>
    </w:p>
    <w:p>
      <w:r>
        <w:rPr>
          <w:b/>
        </w:rPr>
        <w:t xml:space="preserve">Quelle: </w:t>
      </w:r>
      <w:r>
        <w:t>https://mcp.opencaselaw.ch/entscheid/ge_gerichte_ATAS_1089_2014</w:t>
      </w:r>
    </w:p>
    <w:p>
      <w:r>
        <w:t>FR: GE_GERICHTE ATAS/1089/2014 du 17 octobre 2014</w:t>
      </w:r>
    </w:p>
    <w:p>
      <w:r>
        <w:t>IT: GE_GERICHTE ATAS/1089/2014 del 17 ottobre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26 mai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le recourante aux prestations de l’assurance invalidité, singulièrement sur sa capacité de travail.</w:t>
      </w:r>
    </w:p>
    <w:p>
      <w:r>
        <w:t>A/1705/2014 - 9/13 -</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w:t>
      </w:r>
    </w:p>
    <w:p>
      <w:r>
        <w:t>A/1705/2014 - 10/13 -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A/1705/2014 - 11/13 -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A/1705/2014 - 12/13 -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13</w:t>
      </w:r>
    </w:p>
    <w:p>
      <w:r>
        <w:t>En l’espèce, la situation médicale de la recourante a fait l’objet d’une première expertise par le CEMed à la demande de SWICA. Estimant que celle-ci n’était pas pertinente, l’OAI a sollicité une seconde expertise, rhumatologique et psychiatrique. Les résultats des deux expertises sont concordants pour les conclusions relatives à la capacité de travailler de la recourante dans une activité adaptée à ses limitations fonctionnelles. La seconde et seule expertise sur laquelle se fonde l’intimé répond aux réquisits jurisprudentiels. Elle a été établie par des spécialistes, sur la base d'observations approfondies et d'investigations complètes, ainsi qu'en pleine connaissance du dossier. Les experts aboutissent à des résultats convaincants. Le médecin traitant a produit de nombreuses attestations au dossier soit celles des 31 mars 2011, 17 juin 2011, 20 février 2012, 5 juin 2014 et 8 août 2014. Ces attestations mentionnent régulièrement l’incapacité de travailler de la recourante dans sa profession de coiffeuse. La dernière attestation fait mention du fait que l’assurée serait capable de reprendre une activité adaptée. Le médecin traitant diverge de la position du CEMed sur la durée de l’incapacité de travailler de l’assurée dans sa profession de coiffeuse, et le taux d’incapacité. Il diverge aussi sur la possibilité pour celle-ci de reprendre aujourd’hui son activité de coiffeuse. Aucun indice concret ne permet cependant de remettre en doute le bien- fondé de l’avis des experts. Le Dr B______ fait notamment mention d’un nouveau traitement qui n’a pu être entrepris auparavant pour des questions d’ordre privé par la recourante. Les effets de ce traitement ne sont pas encore connus mais le médecin semble optimiste, ce d’autant plus qu’il l’avait proposé à sa patiente il y a plusieurs années déjà. Conformément à la jurisprudence, il convient de retenir pleine valeur probante à l’expertise du CEMed. Fondée sur celle-ci la décision de l’OAI est conforme à la LAI.</w:t>
      </w:r>
    </w:p>
    <w:p>
      <w:r>
        <w:rPr>
          <w:b/>
        </w:rPr>
        <w:t>E. 14</w:t>
      </w:r>
    </w:p>
    <w:p>
      <w:r>
        <w:t>Au vu de ce qui précède, le recours sera rejeté. Etant donné que depuis le 1er juillet 2006, la procédure n'est plus gratuite (art. 69 al. 1bis LAI), il y a lieu de condamner le recourant au paiement d'un émolument de CHF 200.-.</w:t>
      </w:r>
    </w:p>
    <w:p>
      <w:r>
        <w:t>A/1705/2014 - 13/13 -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