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ATAS/1089/2013 vom 7. November 2013</w:t>
      </w:r>
    </w:p>
    <w:p>
      <w:r>
        <w:t>GE Cour de justice, 2013-11-07, FR</w:t>
      </w:r>
    </w:p>
    <w:p>
      <w:r>
        <w:rPr>
          <w:b/>
        </w:rPr>
        <w:t xml:space="preserve">Quelle: </w:t>
      </w:r>
      <w:r>
        <w:t>https://mcp.opencaselaw.ch/entscheid/ge_gerichte_ATAS_1089_2013</w:t>
      </w:r>
    </w:p>
    <w:p>
      <w:r>
        <w:t>FR: GE_GERICHTE ATAS/1089/2013 du 7 novembre 2013</w:t>
      </w:r>
    </w:p>
    <w:p>
      <w:r>
        <w:t>IT: GE_GERICHTE ATAS/1089/2013 del 7 novembre 2013</w:t>
      </w:r>
    </w:p>
    <w:p>
      <w:pPr>
        <w:pStyle w:val="Heading2"/>
      </w:pPr>
      <w:r>
        <w:t>Erwägungen</w:t>
      </w:r>
    </w:p>
    <w:p>
      <w:r>
        <w:rPr>
          <w:b/>
        </w:rPr>
        <w:t>E. 1</w:t>
      </w:r>
    </w:p>
    <w:p>
      <w:r>
        <w:t>Conformément à l'art. 134 al. 1 let. a ch. 2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w:t>
      </w:r>
    </w:p>
    <w:p>
      <w:r>
        <w:t>Sa compétence pour juger du cas d’espèce est ainsi établie.</w:t>
      </w:r>
    </w:p>
    <w:p>
      <w:r>
        <w:rPr>
          <w:b/>
        </w:rPr>
        <w:t>E. 2</w:t>
      </w:r>
    </w:p>
    <w:p>
      <w:r>
        <w:t>a)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t>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w:t>
      </w:r>
    </w:p>
    <w:p>
      <w:r>
        <w:t>En l'espèce, l'objet du litige porte sur une demande de prestation du 18 mars 2010 et une décision de l'intimé du 9 janvier 2013, de sorte que sont applicables les modifications de la LAI du 21 mars 2003 (4ème révision), entrées en vigueur le 1er janvier 2004 et celles du 6 octobre 2006 (5ème révision), entrées en vigueur le 1er janvier 2008. En revanche, les modifications de la LAI du 18 mars 2011 (révision 6a), entrées en vigueur le 1er janvier 2012 ne sont applicables au cas d'espèce, que par les faits postérieurs à cette dernière date.</w:t>
      </w:r>
    </w:p>
    <w:p>
      <w:r>
        <w:rPr>
          <w:b/>
        </w:rPr>
        <w:t>E. 3</w:t>
      </w:r>
    </w:p>
    <w:p>
      <w:r>
        <w:t>Le délai de recours est de 30 jours (art. 60 al. 1 LPGA). Interjeté dans la forme et le délai prévus par la loi, le recours est recevable, en vertu des art. 56ss LPGA.</w:t>
      </w:r>
    </w:p>
    <w:p>
      <w:r>
        <w:t>A/543/2013 - 11/22 -</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w:t>
      </w:r>
    </w:p>
    <w:p>
      <w:r>
        <w:t>a)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t>b)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t>Cette réglementation n'est toutefois pas applicable dans les cas où le délai d'attente a commencé à courir avant le 1er janvier 2008 (ATF non publié 9C_583/2010 du 22 septembre 2011, consid. 4.1). Dans cette hypothèse et lorsque la demande a été déposée avant le 1er janvier 2009 (cf. Lettre-circulaire n° 300 de l'OFAS du 15 juillet 2011, Droit transitoire: application des délais de péremption), la solution prévue par l’art. 48al. 2 aLAI continue à s'appliquer. Par conséquent, le droit à la rente prend naissance à la date à laquelle l'assuré a présenté, en moyenne, une incapacité de travail de 40% au moins pendant une année sans interruption notable à condition que le requérant ait déposé sa demande dans les douze mois dès la naissance du droit.</w:t>
      </w:r>
    </w:p>
    <w:p>
      <w:r>
        <w:t>A/543/2013 - 12/22 -</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 La reconnaissance de l'existence de troubles somatoformes douloureux persistants suppose d'abord la présence d'un diagnostic émanant d'un expert (psychiatre) et s'appuyant lege artis sur les critères d'un système de classification reconnu (ATF 130 V 396,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w:t>
      </w:r>
    </w:p>
    <w:p>
      <w:r>
        <w:t>A/543/2013 - 13/22 -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(ATFA non publié I 1093/06 du 3 décembre 2007, consid. 3.2). Peut constituer une telle comorbidité un état dépressif majeur (ATF 135 V 65, consid. 4.2.2; ATF non publié 9C_387/2009 du 5 octobre 2009, consid. 3.2).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(ATFA non publié I 590/05 du 27 février 2007, consid. 3.1).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w:t>
      </w:r>
    </w:p>
    <w:p>
      <w:r>
        <w:t>A/543/2013 - 14/22 - devant pas faire l'objet d'un diagnostic séparé (ATFA non publié I 497/04 du 12 septembre 2005, consid. 5.1).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(ATFA non publié I 421/06 du 6 novembre 2007, consid. 3.1; ATFA non publié I 382/00 du 9 octobre 2001, consid. 2b). L'égalité de traitement commande en effet de soumettre tous les tableaux cliniques présentant des syndromes sans origine pathogène ou étiologique claire aux mêmes exigences en matière d'assurances sociales (ATFA non publié I 70/07 du 14 avril 2008, consid. 5). Ainsi, les principes jurisprudentiels développés en matière de troubles somatoformes douloureux sont également applicables à la fibromyalgie (ATF 132 V 65, consid. 4.1) au syndrome de fatigue chronique (ATF non publié 9C_662/2009 du 17 août 2010, consid. 2.3), de neurasthénie (ATFA non publié I 70/07 du 14 avril 2008, consid. 5), d'anesthésie dissociative et d'atteintes sensorielles (ATFA non publié I 9/07 du 9 février 2007, consid. 4) ainsi qu'en matière de troubles moteurs dissociatifs (ATF non publié 9C_903/2007 du 30 avril 2008, consid. 3.4) et de traumatisme du type "coup du lapin" (ATF 136 V 279, consid. 3.2.3).</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w:t>
      </w:r>
    </w:p>
    <w:p>
      <w:r>
        <w:t>A/543/2013 - 15/22 -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t>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t>A/543/2013 - 16/22 -</w:t>
      </w:r>
    </w:p>
    <w:p>
      <w:r>
        <w:t>f) Une expertise médicale établie sur la base d'un dossier peut avoir valeur probante pour autant que celui-ci contienne suffisamment d'appréciations médicales qui, elles, se fondent sur un examen personnel de l'assuré (cf. RAMA 2001 n° U 438 p. 346 consid. 3d).</w:t>
      </w:r>
    </w:p>
    <w:p>
      <w:r>
        <w:t>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w:t>
      </w:r>
    </w:p>
    <w:p>
      <w:r>
        <w:t>h)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8</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w:t>
      </w:r>
    </w:p>
    <w:p>
      <w:r>
        <w:t>A/543/2013 - 17/22 - prouvés (VSI 5/1994 220 consid. 4a). En particulier, ils doivent mettre en œuvre une expertise lorsqu'il apparaît nécessaire de clarifier les aspects médicaux du cas (ATF 117 V 283 consid. 4a; RAMA 1985 p. 240 consid. 4; ATFA non publié I 751/03 du 19 mars 2004, consid. 3.3).</w:t>
      </w:r>
    </w:p>
    <w:p>
      <w:r>
        <w:t>Dans un arrêt de principe, le Tribunal fédéral a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instruit du tout un point médical ou lorsqu’il s’agit d’un éclaircissement ou d’une précision ou d’un complément d’une expertise (ATF 137 V 210 consid. 4.4.1.4 in fine et les références).</w:t>
      </w:r>
    </w:p>
    <w:p>
      <w:r>
        <w:t>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Cst (SVR 2001 IV n. 10 p. 28 consid. 4b).</w:t>
      </w:r>
    </w:p>
    <w:p>
      <w:r>
        <w:rPr>
          <w:b/>
        </w:rPr>
        <w:t>E. 9</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w:t>
      </w:r>
    </w:p>
    <w:p>
      <w:r>
        <w:t>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t>A/543/2013 - 18/22 -</w:t>
      </w:r>
    </w:p>
    <w:p>
      <w:r>
        <w:t>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w:t>
      </w:r>
    </w:p>
    <w:p>
      <w:r>
        <w:t>c)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Toutefois, dans certains domaines d'activités dans lesquels les postes à temps partiel sont répandus et répondent à un besoin de la part des employeurs, comme celui d'employée de bureau, le critère du taux d'occupation n'a guère d'importance (ATF du 30 avril 2012 9C 751/2011). L'étendue de l'abattement</w:t>
      </w:r>
    </w:p>
    <w:p>
      <w:r>
        <w:t>A/543/2013 - 19/22 -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w:t>
      </w:r>
    </w:p>
    <w:p>
      <w:r>
        <w:t>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(ATF non publié 9C_279/2008 du 16 décembre 2008, consid. 4).</w:t>
      </w:r>
    </w:p>
    <w:p>
      <w:r>
        <w:t>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w:t>
      </w:r>
    </w:p>
    <w:p>
      <w:r>
        <w:t>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w:t>
      </w:r>
    </w:p>
    <w:p>
      <w:r>
        <w:t>A/543/2013 - 20/22 - valeur leur capacité de travail résiduelle, on ne saurait exiger d'eux qu'ils prennent des mesures incompatibles avec l'ensemble des circonstances objectives et subjectives (ATF non publié 9C_1066/2009 du 22 septembre 2010 consid. 4.1 et la référence).</w:t>
      </w:r>
    </w:p>
    <w:p>
      <w:r>
        <w:t>d)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(ATFA non publiés I 43/05 du 30 juin 2006, consid. 5.2 et I 1/03 du 15 avril 2003, consid. 5.2).</w:t>
      </w:r>
    </w:p>
    <w:p>
      <w:r>
        <w:rPr>
          <w:b/>
        </w:rPr>
        <w:t>E. 10</w:t>
      </w:r>
    </w:p>
    <w:p>
      <w:r>
        <w:t>En l’espèce, les rapports médicaux au dossier contiennent des conclusions divergentes lesquelles justifient qu’il soit procédé à une expertise judiciaire rhumatologique. En effet, la clinique Corela, dans son avis du 14 octobre 2010 et le CEMed dans son rapport du 24 avril 2012 ont considéré que la recourante pouvait travailler à 50 % dans son ancienne activité et à 100 % dans une activité adaptée. Toutefois, le Dr N__________ a attesté à plusieurs reprises d’une incapacité de travail totale de la recourante (avis des 18 janvier 2010, 12 avril 2010, 6 octobre 2010 et 12 mars 2013) et la médecin-conseil de l’employeur que l’activité exercée n’était plus possible, ni d’ailleurs aucune autre activité auprès de X__________ (avis du 23 novembre 2010). Quant au SMR, il a estimé le 7 juillet 2011 que l’activité habituelle n’était plus exigible.</w:t>
      </w:r>
    </w:p>
    <w:p>
      <w:r>
        <w:rPr>
          <w:b/>
        </w:rPr>
        <w:t>E. 11</w:t>
      </w:r>
    </w:p>
    <w:p>
      <w:r>
        <w:t>En conséquence, il convient d'ordonner une expertise rhumatologique, laquelle sera confiée au Dr F__________, à Genève.</w:t>
      </w:r>
    </w:p>
    <w:p>
      <w:r>
        <w:t>A/543/2013 - 21/22 - PAR CES MOTIFS, LA CHAMBRE DES ASSURANCES SOCIALES : Statuant Préparatoirement : 1. Ordonne une expertise médicale. La confie au Dr F__________. Dit que la mission d’expertise sera la suivante : a. Prendre connaissance du dossier de la cause. b. Si nécessaire prendre tous renseignements auprès des médecins ayant traité Mme A__________. c. Examiner Mme A__________. d. Etablir un rapport détaillé et répondre aux questions suivantes: e. Quelle est l’anamnèse détaillée du cas ? f. Quelles sont les plaintes de Mme A__________? g. Quelle est l’atteinte à la santé dont souffre Mme A__________ (diagnostics avec et sans répercussion sur la capacité de travail, dates d'apparition) ? h. Quel est le status détaillé et l'évolution du status depuis le début de l'atteinte ? i. Mme A__________ suit-elle un traitement adéquat ? j. Quelles sont les limitations fonctionnelles ? k. 1) Compte tenu de vos diagnostics, l’assurée pourrait-elle exercer une activité lucrative ? Si oui, laquelle ? A quel taux ? Depuis quelle date ? 2) Quel est votre pronostic quant à l’exigibilité de la reprise d’une activité lucrative ? 3) En particulier l'ancienne activité est-elle exigible ? Si non, une activité adaptée est-elle possible ? Si l’assurée ne peut pas du tout ou dans une mesure seulement restreinte exercer une activité lucrative, quels en sont les motifs ? Quelles sont les limitations fonctionnelles qui entrent en ligne de compte ?</w:t>
      </w:r>
    </w:p>
    <w:p>
      <w:r>
        <w:t>A/543/2013 - 22/22 - 4) En particulier, confirmez-vous l’incapacité de travail totale depuis le 7 janvier 2010 ? Veuillez motiver votre réponse. l. Etes-vous d'accord avec l’expertise du Dr R__________ de la clinique Corela du</w:t>
      </w:r>
    </w:p>
    <w:p>
      <w:r>
        <w:rPr>
          <w:b/>
        </w:rPr>
        <w:t>E. 14</w:t>
      </w:r>
    </w:p>
    <w:p>
      <w:r>
        <w:t>octobre 2010 ? En particulier avec les diagnostics posés, notamment celui de fibromyalgie, les limitations fonctionnelles constatées et l'estimation d'une capacité de travail à 100 % depuis le 29 septembre 2010 dans l’activité habituelle ? Si non, pourquoi ? m. Etes-vous d’accord avec l’avis de la Dresse T__________ du 23 novembre 2010, en particulier avec la constatation d’une incapacité de travail totale pour tout poste chez X__________ ? Si non, pourquoi ? n. Etes-vous d’accord avec l’expertise de la Dresse W__________ du 24 avril 2012 ? En particulier avec les diagnostics posés, les limitations fonctionnelles constatées et l’estimation d’une capacité de travail de 50 % comme aide-soignante et de 100 % dans une activité adaptée ? Si non, pourquoi ? o. Est-vous d’accord avec l’avis du Dr N__________ du 12 mars 2013 ? En particulier avec les diagnostics posés et l’estimation d’une incapacité de travail totale dans toute activité ? Si non, pourquoi ? p. Quel est le pronostic ? q. Au vu du dossier, votre réponse aux questions susmentionnées aurait-elle été identique à la date de la décision rendue par l’Office cantonal de l’assurance- invalidité, soit le 9 janvier 2013 ? Si non, pourquoi et quelles sont les réponses qui varient ? Si oui, pourquoi ? r. Des mesures de réadaptation professionnelle sont-elles envisageables ? s. Faire toutes autres observations ou suggestions utiles. 2. Réserve le sort des frais jusqu’à droit jugé au fond.</w:t>
      </w:r>
    </w:p>
    <w:p>
      <w:r>
        <w:t>La greffière</w:t>
      </w:r>
    </w:p>
    <w:p>
      <w:r>
        <w:t>Nancy BISIN</w:t>
      </w:r>
    </w:p>
    <w:p>
      <w:r>
        <w:t>La présidente</w:t>
      </w:r>
    </w:p>
    <w:p>
      <w:r>
        <w:t>Valérie MONTANI Une copie conforme du présent arrêt est notifiée aux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