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ATAS/1088/2017 vom 4. Dezember 2017</w:t>
      </w:r>
    </w:p>
    <w:p>
      <w:r>
        <w:t>GE Cour de justice, 2017-12-04, FR</w:t>
      </w:r>
    </w:p>
    <w:p>
      <w:r>
        <w:rPr>
          <w:b/>
        </w:rPr>
        <w:t xml:space="preserve">Quelle: </w:t>
      </w:r>
      <w:r>
        <w:t>https://mcp.opencaselaw.ch/entscheid/ge_gerichte_ATAS_1088_2017</w:t>
      </w:r>
    </w:p>
    <w:p>
      <w:r>
        <w:t>FR: GE_GERICHTE ATAS/1088/2017 du 4 décembre 2017</w:t>
      </w:r>
    </w:p>
    <w:p>
      <w:r>
        <w:t>IT: GE_GERICHTE ATAS/1088/2017 del 4 dicembre 2017</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w:t>
      </w:r>
    </w:p>
    <w:p>
      <w:r>
        <w:t>b.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w:t>
      </w:r>
    </w:p>
    <w:p>
      <w:r>
        <w:rPr>
          <w:b/>
        </w:rPr>
        <w:t>E. 2</w:t>
      </w:r>
    </w:p>
    <w:p>
      <w:r>
        <w:t>Le présent recours, interjeté en temps utile (art. 60 al. 1 LPGA), est recevable.</w:t>
      </w:r>
    </w:p>
    <w:p>
      <w:r>
        <w:rPr>
          <w:b/>
        </w:rPr>
        <w:t>E. 3</w:t>
      </w:r>
    </w:p>
    <w:p>
      <w:r>
        <w:t>Le litige porte sur le droit de l'intimé de prononcer à l'encontre du recourant une suspension d'une durée de huit jours dans l'exercice de son droit à l'indemnité, au motif que ses recherches d'emploi pour le mois de mai 2017 étaient quantitativement insuffisantes.</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w:t>
      </w:r>
    </w:p>
    <w:p>
      <w:r>
        <w:t>A/3803/2017 - 6/10 -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2015, n° D72).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 Bulletin op. cit., n° D63).</w:t>
      </w:r>
    </w:p>
    <w:p>
      <w:r>
        <w:rPr>
          <w:b/>
        </w:rPr>
        <w:t>E. 5</w:t>
      </w:r>
    </w:p>
    <w:p>
      <w:r>
        <w:t>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w:t>
      </w:r>
    </w:p>
    <w:p>
      <w:r>
        <w:t>A/3803/2017 - 7/10 - l’assurance-chômage par son comportement fautif (ATF 133 V 89 consid. 6.2.2 ; arrêt du Tribunal fédéral 8C_316/07 du 6 avril 2008 consid. 2.1.2).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arrêt du Tribunal fédéral C 258/06 du 6 février 2007 consid. 2.2). On ne peut cependant pas s'en tenir de manière schématique à une limite purement quantitative ;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C 176/05 du 28 août 2006 consid. 2.2).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A/3803/2017 - 8/10 -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(cf. arrêt du Tribunal fédéral 8C_658/2009 du 19 janvier 2010 consid. 1.2 et les références).</w:t>
      </w:r>
    </w:p>
    <w:p>
      <w:r>
        <w:rPr>
          <w:b/>
        </w:rPr>
        <w:t>E. 8</w:t>
      </w:r>
    </w:p>
    <w:p>
      <w:r>
        <w:t>En l’espèce, le recourant fait valoir, d’une part, qu’il n’avait pas compris que le plan d’action signé le 19 janvier 2017 était contraignant et l’obligeait à effectuer dix recherches personnelles d’emploi chaque mois, d’autre part, qu’il avait effectué un voyage en mai 2017 afin d’activer son réseau de connaissances dans le milieu de l’aviation, lequel devait être pris en compte comme démarche en vue de trouver un emploi. La chambre de céans constate que le plan d’action du 19 janvier 2017 est clair en mentionnant le nombre minimum de dix recherches d’emploi par mois à effectuer et qu’en cas de doute, il incombait au recourant de se renseigner auprès de l’intimé sur son caractère contraignant ou non, de sorte que dix recherches personnelles d’emploi par mois sont effectivement exigibles du recourant. S’agissant du voyage à Hawaï du recourant, lequel a compris quatre jours sur place et qui est admis par l’intimé, il convient de constater qu’il se rapporte à une réunion d’un club de PDG de l’aviation, Conquistador del cielo, dont fait partie le recourant. Or, le recourant a expliqué qu’il participe régulièrement, soit deux fois par année aux réunions de ce club, depuis son adhésion en 2011, de sorte qu’il ne s’agit pas d’une démarche particulière en vue d’un entretien à l’étranger, lequel aurait d’ailleurs dû être autorisé par l’intimé ; même si, comme l’a souligné le recourant, l’activation de son réseau, comprenant des contacts avec des cadres dans le domaine de l’aviation, contribue de façon évidente, à favoriser la recherche d’un emploi dans ce secteur, il paraît douteux qu’un tel voyage, vu son contexte, puisse être pris en compte au titre de recherche personnelle d’emploi. En toute hypothèse, si tel devait être le cas, le recourant, qui n’a effectué que sept recherches en mai 2017, ne pourrait se prévaloir du nombre minimum de dix recherches exigé par l’intimé. L’intimé propose de réduire la sanction de huit à six jours de suspension du droit à l’indemnité du recourant, ceci afin de respecter son barème ; cette proposition tient compte d’une sanction antérieure. A cet égard, il convient de constater que la</w:t>
      </w:r>
    </w:p>
    <w:p>
      <w:r>
        <w:t>A/3803/2017 - 9/10 - suspension de douze jours du droit à l’indemnité du recourant est entrée en force et ne saurait en conséquence être revue dans le cadre de la présente procédure. C’est donc à juste titre que l’intimé a pris en compte cet antécédent.</w:t>
      </w:r>
    </w:p>
    <w:p>
      <w:r>
        <w:rPr>
          <w:b/>
        </w:rPr>
        <w:t>E. 9</w:t>
      </w:r>
    </w:p>
    <w:p>
      <w:r>
        <w:t>Partant, le recours sera partiellement admis et la décision litigieuse réformée dans le sens que la sanction sera réduite de huit à six jours de suspension du droit à l’indemnité du recourant.</w:t>
      </w:r>
    </w:p>
    <w:p>
      <w:r>
        <w:rPr>
          <w:b/>
        </w:rPr>
        <w:t>E. 10</w:t>
      </w:r>
    </w:p>
    <w:p>
      <w:r>
        <w:t>Pour le surplus, la procédure est gratuite.</w:t>
      </w:r>
    </w:p>
    <w:p>
      <w:r>
        <w:t>A/3803/2017 - 10/10 -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