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ATAS/1088/2012 vom 3. September 2012</w:t>
      </w:r>
    </w:p>
    <w:p>
      <w:r>
        <w:t>GE Cour de justice, 2012-09-03, FR</w:t>
      </w:r>
    </w:p>
    <w:p>
      <w:r>
        <w:rPr>
          <w:b/>
        </w:rPr>
        <w:t xml:space="preserve">Quelle: </w:t>
      </w:r>
      <w:r>
        <w:t>https://mcp.opencaselaw.ch/entscheid/ge_gerichte_ATAS_1088_2012</w:t>
      </w:r>
    </w:p>
    <w:p>
      <w:r>
        <w:t>FR: GE_GERICHTE ATAS/1088/2012 du 3 septembre 2012</w:t>
      </w:r>
    </w:p>
    <w:p>
      <w:r>
        <w:t>IT: GE_GERICHTE ATAS/1088/2012 del 3 settembre 2012</w:t>
      </w:r>
    </w:p>
    <w:p>
      <w:pPr>
        <w:pStyle w:val="Heading2"/>
      </w:pPr>
      <w:r>
        <w:t>Erwägungen</w:t>
      </w:r>
    </w:p>
    <w:p>
      <w:r>
        <w:rPr>
          <w:b/>
        </w:rPr>
        <w:t>E. 50</w:t>
      </w:r>
    </w:p>
    <w:p>
      <w:r>
        <w:t>Le 11 juillet 2012, l'OAI a conclu à l'ordonnance d'une expertise rhumato- psychiatrique pour la période postérieure à l'octroi d'indemnités journalières. 51. Les 16 juillet et 8 août 2012, l'assurée a indiqué qu'elle était d'accord avec le renvoi du dossier à l'intimé et la tenue d'une expertise rhumato-pschychiatrique en dehors du SMR et qu'elle maintenait son grief quant au statut mixte retenu par l'OAI. 52. Sur quoi, la cause a été gardée à juger.</w:t>
      </w:r>
    </w:p>
    <w:p>
      <w:r>
        <w:t>EN DROIT</w:t>
      </w:r>
    </w:p>
    <w:p>
      <w:r>
        <w:t>A/127/2012 - 10/14 - 1. 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 2. Le délai de recours est de 30 jours (art. 60 al. 1 LPGA). Interjeté dans la forme et le délai prévus par la loi, le recours est recevable, en vertu des art. 56ss LPGA. 3.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4.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A/127/2012 - 11/14 -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A/127/2012 - 12/14 -</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5.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A/127/2012 - 13/14 -</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6. En l'espèce, les parties sont d'avis qu'il se justifie de renvoyer la cause à l'OAI afin qu'une expertise rhumato-psychiatrique soit ordonnée, sous réserve, pour la recourante, qu'elle soit confiée à des experts indépendants du SMR. Au vu des avis médicaux au dossier, en particulier celui du Dr B___________ du 23 juin 2012, il se justifie en effet d'annuler la décision litigieuse et de renvoyer la cause à l'intimé afin que celui-ci complète l'instruction du dossier par la mise sur pied d'une expertise bidisciplinaire en dehors du SMR et rende une nouvelle décision. S'agissant du grief de la recourante à l'encontre du statut mixte qui lui a été reconnu par l'intimé, il ne se justifie pas, vu l'issue de la présente procédure, soit l'annulation de la décision litigieuse et le renvoi de la cause à l'intimé, de trancher cet aspect du recours, ce d'autant que cette question pourrait requérir une instruction de la part de la Cour de céans retardant le renvoi de la cause à l'OAI puisque, pour la résoudre, il convient de tenir compte d'éléments tels que la situation financière du ménage, l'éducation des enfants, les qualifications professionnelles de l'assurée, sa formation ainsi que ses affinités et talents personnels (ATF 117 V 195 consid. 3b; VSI 1996 p. 209 consid. 1c), et que, selon la pratique, la question du statut doit être tranchée sur la base de l'évolution de la situation jusqu'au prononcé de la décision administrative litigieuse (ATF 130 V 396 consid. 3.3, 125 V 150 consid. 2c, 117 V 194 consid. 3b et les références). 7. Vu l'issue du litige, une indemnité de 2'500 fr. sera allouée à la recourante, à charge de l'intimé, et un émolument de 200 fr. mis à la charge de celui-ci.</w:t>
      </w:r>
    </w:p>
    <w:p>
      <w:r>
        <w:t>A/127/2012 - 14/14 -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