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ATAS/1087/2011 vom 21. November 2011</w:t>
      </w:r>
    </w:p>
    <w:p>
      <w:r>
        <w:t>GE Cour de justice, 2011-11-21, FR</w:t>
      </w:r>
    </w:p>
    <w:p>
      <w:r>
        <w:rPr>
          <w:b/>
        </w:rPr>
        <w:t xml:space="preserve">Quelle: </w:t>
      </w:r>
      <w:r>
        <w:t>https://mcp.opencaselaw.ch/entscheid/ge_gerichte_ATAS_1087_2011</w:t>
      </w:r>
    </w:p>
    <w:p>
      <w:r>
        <w:t>FR: GE_GERICHTE ATAS/1087/2011 du 21 novembre 2011</w:t>
      </w:r>
    </w:p>
    <w:p>
      <w:r>
        <w:t>IT: GE_GERICHTE ATAS/1087/2011 del 21 novembre 2011</w:t>
      </w:r>
    </w:p>
    <w:p>
      <w:pPr>
        <w:pStyle w:val="Heading2"/>
      </w:pPr>
      <w:r>
        <w:t>Erwägungen</w:t>
      </w:r>
    </w:p>
    <w:p>
      <w:r>
        <w:rPr>
          <w:b/>
        </w:rPr>
        <w:t>E. 12</w:t>
      </w:r>
    </w:p>
    <w:p>
      <w:r>
        <w:t>Par décision du 8 février 2011, reçue par l'assurée à son domicile élu le lendemain, l'OAI a refusé toute rente et mesure d'ordre professionnel, maintenant ainsi son projet de décision, dûment communiqué à l'assurée. L'OAI a motivé son refus par le fait qu'il ressortait de la comparaison du revenu sans invalidité exercé à 68% et du revenu possible avec invalidité à 100% que le degré d'invalidité était de 0%.</w:t>
      </w:r>
    </w:p>
    <w:p>
      <w:r>
        <w:rPr>
          <w:b/>
        </w:rPr>
        <w:t>E. 13</w:t>
      </w:r>
    </w:p>
    <w:p>
      <w:r>
        <w:t>Par acte expédié le 8 mars 2011 à l'attention de la Cour de justice, l'assurée recourt contre cette décision, dont elle demande l'annulation. Préalablement, elle sollicite la mise sur pied d'une expertise pluridisciplinaire aux fins de déterminer sa capacité de travail et les limitations éventuelles en cas de capacité de travail partielle. Principalement, elle conclut à l'allocation d'une rente d'invalidité entière depuis le 5 septembre 2009, subsidiairement d'une rentre partielle depuis cette date et le bénéfice de mesures d'ordre professionnel. Elle annexe à son recours le courrier du Dr O__________ du 10 janvier 2011, exposant qu'un changement fréquent de position durant huit heures par jour serait nocif. Par ailleurs, il conteste que le traitement algique ne soit pas approprié, relevant que le SMR ne précise pas lequel serait mieux adapté. Il réitère son appréciation selon laquelle la patiente ne peut exercer une activité adaptée à son état de santé que pendant quatre heures par jour. Est également joint un rapport du 27 décembre 2010 du Dr R__________, psychiatre, indiquant suivre la recourante depuis le 15 février 2010 et posant le diagnostic de dépression sévère, la capacité de travail étant nulle dans toute activité.</w:t>
      </w:r>
    </w:p>
    <w:p>
      <w:r>
        <w:rPr>
          <w:b/>
        </w:rPr>
        <w:t>E. 14</w:t>
      </w:r>
    </w:p>
    <w:p>
      <w:r>
        <w:t>Il ressort du dossier que ces documents avaient déjà été soumis à l'intimé dont le service médical (Dr S_________) a estimé, dans son avis du 24 janvier 2011, qu'ils n'étaient pas de nature à modifier son appréciation. Le diagnostic de dépression sévère n'était pas corroboré par les critères définis par la classification</w:t>
      </w:r>
    </w:p>
    <w:p>
      <w:r>
        <w:t>A/725/2011 - 5/14 - internationale OMS-CIM-10, ni par l'anamnèse faite en juin 2010, ni encore par la médication prescrite. En outre, l'appréciation du Dr O__________ était imprécise et n'émanait pas d'un spécialiste de la médecine physique et de rééducation.</w:t>
      </w:r>
    </w:p>
    <w:p>
      <w:r>
        <w:rPr>
          <w:b/>
        </w:rPr>
        <w:t>E. 15</w:t>
      </w:r>
    </w:p>
    <w:p>
      <w:r>
        <w:t>Se référant à sa décision et aux déterminations du SMR, l'OAI a conclu au rejet du recours.</w:t>
      </w:r>
    </w:p>
    <w:p>
      <w:r>
        <w:rPr>
          <w:b/>
        </w:rPr>
        <w:t>E. 16</w:t>
      </w:r>
    </w:p>
    <w:p>
      <w:r>
        <w:t>Invité par la Cour à indiquer quelle activité adaptée à ses limitations fonctionnelles la recourante pourrait exercer, l'intimé a exposé qu'il pouvait s'agir d'une activité de conditionnement léger (petits objets à emballer) ou d'employée polyvalente en industrie (ébavurage, polissage/sablage, lavage de pièces) ainsi que de toute activité permettant des mesures classiques d'épargne du rachis. Par ailleurs, l'intimé a également mentionné les activités de contrôle dans le domaine pharmacologique ou de l'industrie, telles que l'activité de contrôleuse/visiteuse en salle blanche (vérification visuelle d'un objet fini tel une montre, un briquet, un stylo).</w:t>
      </w:r>
    </w:p>
    <w:p>
      <w:r>
        <w:rPr>
          <w:b/>
        </w:rPr>
        <w:t>E. 17</w:t>
      </w:r>
    </w:p>
    <w:p>
      <w:r>
        <w:t>L'assurée a relevé que selon les constatations médicales et le stage effectué sous l'égide du COPAI, un travail sur la journée entière est difficilement possible. Elle a annexé un nouveau certificat du Dr O__________, selon lequel elle n'est pas en mesure de travailler plus de 4 heures par jour dans un travail adapté, et a maintenu ses conclusions.</w:t>
      </w:r>
    </w:p>
    <w:p>
      <w:r>
        <w:rPr>
          <w:b/>
        </w:rPr>
        <w:t>E. 18</w:t>
      </w:r>
    </w:p>
    <w:p>
      <w:r>
        <w:t>Dans sa détermination du 16 aout 2011, l'intimé souligne que le courrier du Dr O__________ n'apporte aucun élément nouveau. Les rapports médicaux et les constats de l'EPI concordaient quant à la nature et l'étendue des limitations fonctionnelles. L'intimé a ainsi également persisté dans ses conclusions.</w:t>
      </w:r>
    </w:p>
    <w:p>
      <w:r>
        <w:rPr>
          <w:b/>
        </w:rPr>
        <w:t>E. 19</w:t>
      </w:r>
    </w:p>
    <w:p>
      <w:r>
        <w:t>Les parties ont été informées, par courrier du 22 août 2011, que la cause était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Formé dans le délai et la forme prescrits loi (art. 60 et 61 let. b LPGA), le recours est recevable. 2. La recourante soutient que la décision querellée ne tient pas suffisamment compte de ses atteintes tant physique que psychique. Elle considère, en effet, que ses</w:t>
      </w:r>
    </w:p>
    <w:p>
      <w:r>
        <w:t>A/725/2011 - 6/14 - problèmes lombaires ne lui permettent pas d'exercer une activité adaptée au-delà de quatre heures par jour. 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S’agissant du droit à une rente, la survenance de l’invalidité correspond au moment où celui-ci prend naissance, en application de l’art. 29 al. 1 LAI, soit dès que l’assuré présente une incapacité de gain durable de 40% au moins ou dès qu’il a présenté, en moyenne, une incapacité de travail de 40% au moins pendant une année sans interruption notable, mais au plus tôt le 1er jour du mois qui suit le dix-huitième anniversaire de l’assuré (art. 29 al. 2 LAI ; ATF 126 V 5 9 consid. 2b et références y citées).</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469 consid. 4a; 122 III 223 consid. 3c; 120 Ib 229 consid. 2b; 119 V 344</w:t>
      </w:r>
    </w:p>
    <w:p>
      <w:r>
        <w:t>A/725/2011 - 7/14 - consid. 3c). Une telle manière de procéder ne viole pas le droit d'être entendu selon l'art. 29 al. 2 Cst. (ATF 124 V 94 consid. 4b; 122 V 162 consid. 1d).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consid. 3).</w:t>
      </w:r>
    </w:p>
    <w:p>
      <w:r>
        <w:t>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 np du 13 mars 2000, I 592/99, consid. 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w:t>
      </w:r>
    </w:p>
    <w:p>
      <w:r>
        <w:t>A/725/2011 - 8/14 - base des renseignements médicaux et compte tenu des aptitudes résiduelles de l'assuré (ATF 107 V 20 consid. 2b). L'administration doit en principe examiner quelles possibilités de réadaptation concrètes existent pour l'assuré, compte de l'ensemble des circonstances, en particulier de ses caractéristiques physiques et psychiques ainsi que de sa situation professionnelle et sociale, considérées de manière objective (ATF 113 V 28 consid. 4a; 109 V 28). b) En l'espèce, l'intimé a conclu à une capacité de travail entière dans une activité adaptée aux limitations fonctionnelles de l'assurée. Pour conclure de la sorte, l’intimé s’est basé sur le rapport du Dr Q__________. Force est de constater que ce rapport doit se voir reconnaître pleine valeur probante au sens de la jurisprudence, quoi qu’en dise la recourante. En effet, ce médecin l'a établi sur la base des pièces médicales de la recourante, a tenu compte des plaintes exprimées par l'intéressée et a ausculté cette dernière. De plus, ce spécialiste en chirurgie orthopédique et traumatologie a clairement expliqué les diagnostics retenus dont on relèvera qu'ils correspondent parfaitement à ceux posés par les différents médecins consultés par la recourante. En outre, la Cour de céans ne met en exergue aucune circonstance particulière permettant de douter de l’indépendance du Dr Q__________. Par ailleurs, le Dr O__________ n'a avancé aucun élément permettant de mettre en doute les conclusions du Dr Q__________ sur le plan purement somatique. Il ne diverge que sur la question de l'évaluation de la capacité de sa patiente à exercer une activité lucrative eu égard à son état de santé physique. Or, sur ce point, le Dr Q__________ a bien motivé son avis. Il a préconisé - comme d'ailleurs le Dr O__________ - d'alterner la position debout avec la position assise, d'éviter le port de charges, les travaux effectués en étant penchée en avant ou en porte-à-faux ainsi que les mouvements répétitifs en pro-supination du membre supérieur droit. Dans ces conditions et en suivant un traitement antalgique et de rééducation et de renforcement musculaire, la capacité de travail de l'assurée était entièrement préservée. Le Dr O__________ ne critique pas cette appréciation. Il relève uniquement qu'un changement fréquent de position serait nocif. Cette remarque n'est pas contraire à l'appréciation du Dr Q__________, qui n'a pas préconisé un changement fréquent, mais recommandé d'éviter le maintien prolongé dans l'une ou l'autre position. Par ailleurs, le médecin traitant affirme que le port d'un corset représente un traitement lourd et soutient qu'il n'est pas admissible de "droguer massivement une personne pour pouvoir l'expédier au travail". En outre, la physiothérapie n'apporterait pas d'amélioration. Or, un traitement antalgique plus poussé a également été proposé par le Dr P__________, d'une part. D'autre part, il n'apparaît pas qu'un traitement de rééducation et de renforcement musculaire aurait été entrepris ni, a fortiori, que celui-ci aurait été inefficace.</w:t>
      </w:r>
    </w:p>
    <w:p>
      <w:r>
        <w:t>Dans ces conditions, il convient de se ranger à l'avis du Dr T_________, sans qu'il soit besoin de mettre sur pied une expertise judiciaire ainsi que le demande la recourante. Il convient à cet égard de rappeler qu'au vu de la divergence consacrée</w:t>
      </w:r>
    </w:p>
    <w:p>
      <w:r>
        <w:t>A/725/2011 - 9/14 - par la jurisprudence entre mandat thérapeutique et mandat d'expertise (ATF 124 I 170 consid. 4; SVR 2008 IV Nr. 15 p. 43 consid. 2.2.1 et les références [arrêt I 514/06 du 25 mai 2007]), on ne saurait remettre en cause une expertise ordonnée par l'administration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ce qui n'est pas le cas en l'espèce, ainsi qu'on l'a vu. La recourante s'appuie sur la remarque émise par les EPI selon laquelle "un travail sur une journée serait difficilement tenu" pour en déduire une capacité de travail réduite. Or, les deux stages organisés par les EPI d'aide en cafétéria et d'aide-lingère ne tenaient pas suffisamment compte des limitations fonctionnelles de la recourante, le premier comportant le port de charges ainsi que l'impossibilité de changer de position, et le second ne permettant pas non plus de changer de position. Ces deux stages n'ont fait que mettre en exergue les limitations fonctionnelles décrites par le Dr Q__________ et ne contredisent nullement l'avis de ce dernier sur ce point. L'affirmation selon laquelle "un travail sur une journée serait difficilement tenu" semble d'ailleurs être mise, dans le rapport, en relation avec les limitations fonctionnelles constatées, à savoir la difficulté à rester plus de 10-15 minutes dans la position assise et le besoin de mobilité. Il ne ressort pas du rapport que moyennant la prise en compte des aménagements rendus nécessaires par les limitations fonctionnelles, la recourante ne pourrait pas travailler pendant toute une journée. Le rapport établi par les EPI conclut, au demeurant, que la recourante peut réintégrer le circuit économique normal, à condition que des aménagements concernant le port de charges et les positions de travail soient proposés. Il ne vient donc pas contredire l'appréciation médicale sur les limitations fonctionnelles. Il suit de ce qui précède que la Cour retiendra, conformément aux conclusions du rapport du Dr Q__________, qu'en mars 2009, la recourante avait recouvré, sur le plan somatique, la capacité d'exercer à plein temps et plein rendement une activité adaptée. Sur le plan psychiatrique, la recourante a invoqué, peu avant que la décision litigeuse soit rendue, souffrir d'une dépression sévère et avoir consulté à plusieurs reprises le Dr R__________, psychiatre, en 2010. Ces éléments justifiaient, d’après elle, qu’il soit procédé à une expertise psychiatrique. Il est vrai que le Dr Q__________ a observé le 24 juin 2010 que la patiente souffrait d'angoisse et qu'elle était suivie depuis trois mois par le Dr R__________ pour des entretiens à raison d'une fois par mois. Toutefois, le Dr O__________, qui n'est certes pas psychiatre, mais suit la patiente de manière régulière, n’a jamais mis en exergue, dans ses nombreux rapports, l’existence d’un état dépressif. La</w:t>
      </w:r>
    </w:p>
    <w:p>
      <w:r>
        <w:t>A/725/2011 - 10/14 - recourante n'a pas non plus mentionné un tel état lors de l'examen par le Dr Q__________. Par ailleurs, les séances avec le psychiatre n'ont lieu qu'une à deux fois par mois. Partant, la Cour de céans en conclut que l'épisode dépressif n'était pas d'une gravité telle qu'il avait une répercussion sur la capacité de travail au moment de la notification de la décision dont est recours. Il n'y a donc pas lieu de tenir compte d'une incapacité de travail sur le plan psychiatrique en février 2011, date de la décision, de sorte que la Cour de céans ne juge pas utile de mettre en œuvre une expertise psychiatrique. 3. Reste à se prononcer sur le calcul du degré d'invalidité de la recourante. a) L’art. 16 LPGA s’applique à l’évaluation de l’invalidité des assurés exerçant une activité lucrative. Cette disposition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Pour ce faire, il convient en principe de se placer au moment de la naissance du droit à la rente (ATF 130 V 343 consid. 4). Les revenus avec et sans invalidité doivent être déterminés par rapport à un même moment et les modifications de ces revenus susceptibles d’influencer le droit à la rente, survenues jusqu’au moment où la décision est rendue (c’est-à-dire entre le projet de décision et la décision elle-même), doivent être prises en compte (cf. ATF 129 V 222 consid. 4.1, 128 V 174). Tant lors de l'examen initial du droit à la rente qu'à l'occasion d'une révision de celle-ci, il faut examiner quelle méthode d'évaluation de l'invalidité il convient d'appliquer. Le choix de l'une des trois méthodes considérées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 les circonstances étant par ailleurs restées les mêmes - si l'atteinte à la santé n'était pas survenue. Pour savoir si un assuré doit être considéré comme une personne exerçant une activité à plein temps ou à temps partiel, respectivement pour déterminer la part de l'activité lucrative par rapport à celle consacrée aux travaux ménagers, ou s'il se consacrerait uniquement à ses travaux ménagers, il convient d'examiner ce que ferait l'assuré dans les mêmes circonstances s'il n'était pas atteint dans sa santé. Pour les assurés travaillant dans le ménage, il faut tenir compte de la situation familiale, sociale et professionnelle, ainsi que des tâches d'éducation et de soins à l'égard des enfants, de l'âge, des aptitudes professionnelles, de la formation, des dispositions et des prédispositions. Selon la pratique, la question du statut doit être tranchée sur la base de la situation telle qu'elle s'est développée jusqu'au moment où</w:t>
      </w:r>
    </w:p>
    <w:p>
      <w:r>
        <w:t>A/725/2011 - 11/14 - l'administration a pris sa décision, encore que, pour admettre l'éventualité selon laquelle l'assuré aurait exercé une activité lucrative s'il avait été en bonne santé, il faille que la force probatoire reconnue habituellement en droit des assurances sociales atteigne le degré de la vraisemblance prépondérante (ATF 125 V 150 consid. 2c; 117 V 194 ss consid. 3b). Aux termes de l’art. 27bis RAI, lorsque l’assuré n’exerce une activité lucrative qu’à temps partiel, l’invalidité pour cette part est évaluée selon la méthode générale qui vient d’être décrite. Quant à l’invalidité dans la part réservée aux travaux habituels au sens de l’art. 8 al. 3 LPGA - on entend par là l’activité usuelle dans le ménage, l’éducation des enfants ainsi que l’engagement caritatif non rémunéré -, elle est évaluée selon l’art. 27 RAI. Il faut donc en premier lieu déterminer la part respective de l’activité lucrative et celle de l’accomplissement des autres travaux habituels et calculer le degré d’invalidité d’après le handicap dont la personne est affectée dans les deux domaines d'activité en question (méthode mixte d’évaluation de l’invalidité). On évaluera ainsi le degré d’invalidité dans les travaux habituels par comparaison des activités (art. 27 RAI) et le degré d’invalidité dans la sphère professionnelle par comparaison des revenus (art. 16 LPGA) ; on pourra alors déterminer l’invalidité globale d’après le temps consacré à ces deux champs d’activités. La part de l’activité professionnelle dans l’ensemble des travaux de l’assuré est déterminée en comparant l’horaire de travail usuel dans la profession en question et l’horaire accompli par l’assuré valide; on calcule donc le rapport en pourcent entre ces deux valeurs. La part de l’autre travail habituel constitue le reste du pourcentage (ATF 104 V 136 = RCC 1979 p. 28 consid. 2a ; RCC 1980 p. 565 ; RCC 1992 p. 136 et VSI 1999 p. 231 et ss.).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w:t>
      </w:r>
    </w:p>
    <w:p>
      <w:r>
        <w:t>A/725/2011 - 12/14 -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b) En l'espèce, l'intimé a retenu que la recourante avait réalisé en 2008, en travaillant à 68%, un salaire annuel de 32'574 fr. Ce montant n'est pas contesté; il est, au demeurant, conforme aux indications fournies par les employeurs de la recourante et ses relevés de compte individuel de cotisations AVS. Quant au revenu après invalidité, étant rappelé que la recourante pourrait exercer à 100% une activité adaptée à ses limitations, il y a lieu, conformément à une jurisprudence bien établie, de se référer aux données statistiques (ESS) lorsque, comme en l’espèce, l’assurée n’a pas repris d’activité lucrative. Pour une activité simple et répétitive de 40 heures (ESS 2008 TA 1), le salaire annuel s’élevait pour les femmes à 4'116 fr. en 2008. Dans cette catégorie, l’on trouve des activités qui peuvent être adaptées aux limitations fonctionnelles de la recourante et qui ne demandent aucune formation professionnelle, telles que celles mentionnées par l'intimé, à savoir la manutention d'objets légers, l'ébavurage, le polissage, le lavage de pièces ou encore une activité de contrôleuse ou visiteuse. Compte tenu de l’horaire de travail de 41,7 heures habituelles dans les entreprises en 2008 (cf. Office fédéral de la statistique), cela équivaut à un revenu annuel de 51'491 fr. En l'absence d'éléments permettant de retenir que la recourante avait en vue de</w:t>
      </w:r>
    </w:p>
    <w:p>
      <w:r>
        <w:t>A/725/2011 - 13/14 - modifier son taux d'activité lucrative et compte tenu du fait qu'elle n'émet aucune critique à l'encontre de la décision attaquée en ce qui concerne l'exercice à temps partiel d'une activité professionnelle, le taux d'activité sera maintenu à 68%. Avec invalidité, le salaire serait ainsi de 35'014 fr. pour un taux d'occupation de 68%. Les limitations fonctionnelles de la recourante, soit alterner la position debout avec la position assise, éviter le port de charges, les travaux effectués en étant penchée en avant ou en porte-à-faux ainsi que les mouvements répétitifs en pro-supination du membre supérieur droit, ont également une répercussion sur le travail effectué par elle dans une activité adaptée et son manque de polyvalence. En outre, le critère du taux d’occupation partiel est réalisé. De ce fait, il se justifie de prendre en considération un abattement de 15%. Partant, le revenu d’invalide est de 29'762 fr. La comparaison des revenus laisse ainsi apparaître un degré d'invalidité de 8,64%. Au vu de ce taux d'invalidité dans l'activité professionnelle, il n'y a pas lieu de rechercher celui relatif à l'empêchement de l'activité ménagère de 32%, dès lors que, même s'il était de 100%, l'invalidité ainsi déterminée n'atteindrait pas le pourcentage de 40% ouvrant le droit à une rente. En effet, le taux de 8,64% qui entre à raison de 68% dans l'appréciation globale d'invalidité, est ajouté au taux d'empêchement dans la sphère ménagère (hypothétiquement arrêté à 100%), qui entre en compte à raison de 32%. Le degré d'invalidité global, en admettant un empêchement à 100% de l'activité de ménagère, serait alors de 37,87% [8,64 x 0,68] + [100 x 0,32]. Ainsi, même en admettant un empêchement total pour l'activité ménagère - ce qui ne paraît pas plausible en l'espèce - le degré d'invalidité de 40% ne serait pas atteint. Par ailleurs, la recourante ne peut bénéficier de mesures d'ordre professionnel, dès lors que celles-ci ne sont octroyées que lorsque le degré d'invalidité dans l'activité professionnelle est de 20% au minimum (ATF 130 V 488 consid. 4.2), seuil non atteint en l'espèce puisque ce taux n'est que de 8,64%. Compte tenu de ce qui précède, le recours doit être rejeté. 4. Conformément à l’art. 69 al. 1 bis LAI, un émolument de 300 fr. est mis à la charge de la recourante, qui succombe. * * *</w:t>
      </w:r>
    </w:p>
    <w:p>
      <w:r>
        <w:t>A/725/2011 - 14/14 -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