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ATAS/1086/2020 vom 17. November 2020</w:t>
      </w:r>
    </w:p>
    <w:p>
      <w:r>
        <w:t>GE Cour de justice, 2020-11-17, FR</w:t>
      </w:r>
    </w:p>
    <w:p>
      <w:r>
        <w:rPr>
          <w:b/>
        </w:rPr>
        <w:t xml:space="preserve">Quelle: </w:t>
      </w:r>
      <w:r>
        <w:t>https://mcp.opencaselaw.ch/entscheid/ge_gerichte_ATAS_1086_2020</w:t>
      </w:r>
    </w:p>
    <w:p>
      <w:r>
        <w:t>FR: GE_GERICHTE ATAS/1086/2020 du 17 novembre 2020</w:t>
      </w:r>
    </w:p>
    <w:p>
      <w:r>
        <w:t>IT: GE_GERICHTE ATAS/1086/2020 del 17 novembre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Interjeté dans les forme et délai prévus par la loi, le recours est recevable (art. 56 et 60 LPGA ; art. 89B de la loi sur la procédure administrative du 12 septembre 1985 [LPA - E 5 10] ; art. 1 et 2 de l'ordonnance sur la suspension des délais dans les procédures civiles et administratives pour assurer le maintien de la justice en lien avec le coronavirus [COVID-19] du 20 mars 2020).</w:t>
      </w:r>
    </w:p>
    <w:p>
      <w:r>
        <w:rPr>
          <w:b/>
        </w:rPr>
        <w:t>E. 4</w:t>
      </w:r>
    </w:p>
    <w:p>
      <w:r>
        <w:t>Le litige porte sur le point de savoir si l'intimé était en droit de refuser d'entrer en matière sur la nouvelle demande de prestations déposée par le recourant le 7 juin 2019.</w:t>
      </w:r>
    </w:p>
    <w:p>
      <w:r>
        <w:rPr>
          <w:b/>
        </w:rPr>
        <w:t>E. 5</w:t>
      </w:r>
    </w:p>
    <w:p>
      <w:r>
        <w:t>a.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133 V 108 consid. 5.2 ; ATF 130 V 64 consid. 5.2.3; ATF 125 V 410 consid. 2b). À cet égard, une appréciation différente de la même situation médicale ne permet pas encore de conclure à l’existence d’une aggravation (ATF 112 V 371 consid. 2b ; arrêt du Tribunal fédéral 9C_748/2013 du</w:t>
      </w:r>
    </w:p>
    <w:p>
      <w:r>
        <w:rPr>
          <w:b/>
        </w:rPr>
        <w:t>E. 10</w:t>
      </w:r>
    </w:p>
    <w:p>
      <w:r>
        <w:t>février 2014 consid. 4.3).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125 V 410 consid. 2b ; ATF 117 V 198 consid. 4b et les références).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w:t>
      </w:r>
    </w:p>
    <w:p>
      <w:r>
        <w:t>A/1362/2020 - 7/10 -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9C_789/2012 du 27 juillet 2013 consid. 2.2). c.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arrêts du Tribunal fédéral 9C_789/2012 du 27 juillet 2013 consid. 2 et 9C_708/2007 du 11 septembre 2008 consid. 2.3). Son examen se limite, ainsi, au point de savoir si les pièces déposées en procédure administrative justifient ou non la reprise de l'instruction du dossier (arrêt du Tribunal fédéral 9C_789/2012 du 27 juillet 2013 consid. 4.1). e.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w:t>
      </w:r>
    </w:p>
    <w:p>
      <w:r>
        <w:t>A/1362/2020 - 8/10 - de prestations AI et les autres voies permettant la modification de décisions en force, RSAS, 2003, p. 396 ch. 5.1 ; arrêt du Tribunal fédéral des assurances I 724/99 du 5 octobre 2001 consid. 1c/aa). 6. a. En l'espèce, il est rappelé que l'intimé a rejeté la première demande de prestations du recourant, par décision du 7 septembre 2016, entrée en force, au motif que l'intéressé disposait d'une entière capacité de travail. Cette appréciation était fondée sur le rapport d'expertise du Dr C______ du 6 mai 2016, aux termes duquel était retenue l’existence d’une dysthymie depuis 2011, sans répercussion sur la capacité de travail du recourant. Par arrêt du 19 avril 2017, la chambre de céans a estimé que les rapports du Dr B______, psychiatre traitant, ne permettaient pas de remettre en question les conclusions du Dr C______ (ATAS/318/2017). b. Le recourant a déposé une nouvelle demande de prestations le 7 juin 2019, en raison d’un trouble anxio-dépressif chronique existant depuis 2009. Dans sa décision litigieuse, l’intimé, en se basant sur les conclusions du SMR du 19 mars 2020, a estimé que la situation du recourant ne s’était pas notablement modifiée depuis le 7 septembre 2016 et a refusé d’entrer en matière sur sa nouvelle demande de prestations, ce que l’intéressé conteste en se référant aux appréciations de son psychiatre traitant. Il convient par conséquent d'examiner si le recourant a rendu plausible une aggravation de son état de santé depuis le 7 septembre 2016. Par rapport du 24 septembre 2019, le Dr B______ a diagnostiqué une dépression majeure moyenne à sévère, un trouble de l’anxiété généralisée, une phobie sociale et une personnalité évitante et dépendante. Selon ce médecin, l’état clinique du recourant s’était sérieusement détérioré depuis le printemps 2019, malgré une augmentation de son traitement médicamenteux. À la lecture de ce rapport, comme l’a indiqué le SMR dans son avis du 16 janvier 2020, il était « possible » que l’état psychique du recourant se soit aggravé. En effet, le Dr B______ faisait état de l'existence d'une dépression majeure moyenne à sévère sans caractéristiques psychotiques, et non plus d’une dysthymie, telle que diagnostiquée par le Dr C______ en mai 2016. Cela étant, le rapport complémentaire du psychiatre traitant, établi le 24 février 2020, n’a pas permis de confirmer le caractère plausible de l’aggravation de l’état de santé du recourant. En effet, alors que le Dr B______ estimait, dans son rapport du 24 septembre 2019, que le diagnostic de dépression moyenne à sévère restait « ferme » et que ce dernier laissait comprendre que la possibilité d’une réintégration professionnelle était impossible, il n’a, dans son rapport du 24 février 2020, plus fait état de ce diagnostic, mais seulement d’une dysthymie, sans fournir la moindre explication sur ce changement. En outre, les plaintes relevées par le Dr B______ dans ses rapports des 24 septembre 2019 et 24 février 2020 sont identiques à celles qui existaient déjà en mai 2016, soit lorsque l’expert psychiatre a examiné le recourant : des insomnies, de la tristesse, du désespoir, de l’anxiété, un retrait social (rapport</w:t>
      </w:r>
    </w:p>
    <w:p>
      <w:r>
        <w:t>A/1362/2020 - 9/10 - d’expertise p. 8), ainsi que des idées suicidaires qui apparaissent par intermittence sans projets concrets (cf. rapport d’expertise p. 4 dernier paragraphe). Or, selon les conclusions du Dr C______ - auxquelles la chambre de céans a octroyé pleine valeur probante (ATAS/318/2017 du 19 avril 2017) -, les plaintes précitées, contrairement à ce qu’avait retenu le Dr B______ le 4 juin 2014 déjà, ne relevaient ni d’un trouble de l’anxiété généralisée, ni d’une phobie sociale, ni d’un trouble de la personnalité, mais seulement d’une dysthymie. Enfin, si, dans le cadre de la nouvelle demande de prestations du recourant, le psychiatre traitant a certes attesté une incapacité de travail totale, il était toutefois d’avis qu’elle remontait à 2011 (rapport du 24 février 2020), ce qui ne permet nullement de corroborer l’existence d’une aggravation de l’état de santé du recourant à compter du 7 septembre 2016. Compte tenu de ce qui précède, une péjoration de l’état de santé du recourant, postérieurement au 7 septembre 2016, n’apparaît pas plausible au sens de l’art. 87 al. 2 et 3 RAI. Enfin, dans la mesure où l’existence de vertiges, de troubles de l’équilibre et de maux de tête a été évoquée dans le cadre du recours ou postérieurement à celui-ci (cf. rapports du Dr B______ du 20 avril 2020 et de M. F______ du 27 avril 2020), ces troubles ne sauraient être pris en compte par la chambre de céans, dès lors que le juge doit examiner la situation d'après l'état de fait tel qu'il se présentait à l'administration au moment où celle-ci a statué. Compte tenu de ce qui précède, le recourant n’a pas rendu plausible l’existence d’une aggravation, depuis le 7 septembre 2016, de son état de santé, de sorte que c'est à juste titre que l'intimé a refusé d'entrer en matière sur sa nouvelle demande de prestations du 7 juin 2019. 7. Le recours sera donc rejeté. 8. Au vu du sort du recours, il y a lieu de condamner le recourant au paiement d'un émolument de CHF 200.- (art. 69 al. 1bis LAI).</w:t>
      </w:r>
    </w:p>
    <w:p>
      <w:r>
        <w:t>A/1362/2020 - 10/10 -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