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ATAS/1086/2014 vom 15. Oktober 2014</w:t>
      </w:r>
    </w:p>
    <w:p>
      <w:r>
        <w:t>GE Cour de justice, 2014-10-15, FR</w:t>
      </w:r>
    </w:p>
    <w:p>
      <w:r>
        <w:rPr>
          <w:b/>
        </w:rPr>
        <w:t xml:space="preserve">Quelle: </w:t>
      </w:r>
      <w:r>
        <w:t>https://mcp.opencaselaw.ch/entscheid/ge_gerichte_ATAS_1086_2014</w:t>
      </w:r>
    </w:p>
    <w:p>
      <w:r>
        <w:t>FR: GE_GERICHTE ATAS/1086/2014 du 15 octobre 2014</w:t>
      </w:r>
    </w:p>
    <w:p>
      <w:r>
        <w:t>IT: GE_GERICHTE ATAS/1086/2014 del 15 ottobre 2014</w:t>
      </w:r>
    </w:p>
    <w:p>
      <w:pPr>
        <w:pStyle w:val="Heading2"/>
      </w:pPr>
      <w:r>
        <w:t>Erwägungen</w:t>
      </w:r>
    </w:p>
    <w:p>
      <w:r>
        <w:rPr>
          <w:b/>
        </w:rPr>
        <w:t>E. 1</w:t>
      </w:r>
    </w:p>
    <w:p>
      <w:r>
        <w:t>Conformément à l'art. 134 al. 1 let. a ch. 2 de la loi sur l'organisation judiciaire, du 26 septembre 2010 (LOJ; RS/GE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6 décembre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t>A/227/2014 - 10/21 -</w:t>
      </w:r>
    </w:p>
    <w:p>
      <w:r>
        <w:rPr>
          <w:b/>
        </w:rPr>
        <w:t>E. 4</w:t>
      </w:r>
    </w:p>
    <w:p>
      <w:r>
        <w:t>Le délai de recours est de trente jours (art. 60 al. 1 LPGA). Compte tenu de la suspension des délais du 18 décembre au 2 janvier inclusivement (art. 38 al. 4 let. c LPGA) et du fait que la décision du 6 décembre 2013, notifiée par pli simple, a été reçue le 12 décembre 2013, le recours du 27 janvier 2014, interjeté dans la forme prévue par la loi, est recevable (art. 56 et 60 LPGA ; art. 89B de la loi sur la procédure administrative du 12 septembre 1985 – LPA; RS/GE E 5 10).</w:t>
      </w:r>
    </w:p>
    <w:p>
      <w:r>
        <w:rPr>
          <w:b/>
        </w:rPr>
        <w:t>E. 5</w:t>
      </w:r>
    </w:p>
    <w:p>
      <w:r>
        <w:t>L’objet du litige porte, d’une part, sur la question de savoir si c’est à juste titre que l’intimé a nié le droit du recourant à une rente suite à sa nouvelle demande de prestations déposée le 9 février 2011, étant rappelé que selon la décision initiale de 1998, le droit à la rente d’invalidité était limité du 1er juillet au 31 décembre 1997. D’autre part, il sied de déterminer si le recourant peut prétendre à l’octroi de nouvelles mesures de réadaptation.</w:t>
      </w:r>
    </w:p>
    <w:p>
      <w:r>
        <w:rPr>
          <w:b/>
        </w:rPr>
        <w:t>E. 6</w:t>
      </w:r>
    </w:p>
    <w:p>
      <w:r>
        <w:t>Lorsque la rente ou l’allocation pour impotent a été refusée parce que le degré d’invalidité était insuffisant ou parce qu’il n’y avait pas d’impotence, la nouvelle demande ne peut être examinée que si l'assuré rend plausible que son invalidité s'est modifiée de manière à influencer ses droits (art. 87 al. 3 et 4 du règlement sur l'assurance-invalidité du 17 janvier 1961 [RAI;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(ATF 133 V 108) pour déterminer si une modification notable du taux d'invalidité justifiant la révision du droit en question est intervenue (arrêt du Tribunal fédéral 9C_412/2010 du 22 février 2011). Un motif de révision au sens de l'art. 17 LPGA doit clairement ressortir du dossier (arrêt du Tribunal fédéral des assurances I 559/02 du 31 janvier 2003 consid. 3.2 et les arrêts cités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t>A/227/2014 - 11/21 -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w:t>
      </w:r>
    </w:p>
    <w:p>
      <w:r>
        <w:rPr>
          <w:b/>
        </w:rPr>
        <w:t>E. 7</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w:t>
      </w:r>
    </w:p>
    <w:p>
      <w:r>
        <w:t>A/227/2014 - 12/21 -</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A/227/2014 - 13/21 -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w:t>
      </w:r>
    </w:p>
    <w:p>
      <w:r>
        <w:rPr>
          <w:b/>
        </w:rPr>
        <w:t>E. 11</w:t>
      </w:r>
    </w:p>
    <w:p>
      <w:r>
        <w:t>En l’espèce, il convient d’examiner en premier lieu si la situation du recourant a subi un changement important propre à influencer son degré d’invalidité, et donc son droit à la rente, étant rappelé que cette dernière peut être révisée non seulement en cas de modification sensible de l’état de santé, mais aussi lorsque celui-ci est resté en soi le même, mais que ses conséquences sur la capacité de gain ont subi un changement important.</w:t>
      </w:r>
    </w:p>
    <w:p>
      <w:r>
        <w:rPr>
          <w:b/>
        </w:rPr>
        <w:t>E. 12</w:t>
      </w:r>
    </w:p>
    <w:p>
      <w:r>
        <w:t>a. Par une première décision de 1998 entrée en force, l’intimé a refusé au recourant l’octroi d’une rente au-delà du 31 décembre 1997, au motif que le degré d’invalidité était insuffisant. Il s’était alors fondé sur le rapport final du médecin d’arrondissement de la SUVA, lequel avait notamment constaté une amyotrophie du quadriceps droit de 1 cm par rapport au côté gauche, l’absence de liquide au genou droit et une flexion complète avec une hyperextension de 10° des deux côtés. Il avait conclu que l’activité habituelle de maçon n’était plus exigible depuis l’accident de 1996, mais qu’une activité adaptée ne requérant ni la surcharge du genou droit ni la nécessité de s’agenouiller ou de s’accroupir fréquemment, et permettant une alternance des positions assise et debout, était possible à plein temps et avec un rendement total, dès décembre 1997. b. Suite à la seconde demande de prestations déposée par le recourant le 9 février 2011, l’intimé a procédé à une instruction médicale approfondie et mis en œuvre une expertise. Le Dr H______ a notamment relevé de discrets signes d’arthrose, en l’état non décompensée sur le plan radiologique, et a clairement exposé que la situation n’avait que peu évolué depuis le rapport du médecin d’arrondissement de la SUVA, dont les conclusions restaient identiques sur le plan orthopédique. Il a confirmé que</w:t>
      </w:r>
    </w:p>
    <w:p>
      <w:r>
        <w:t>A/227/2014 - 14/21 - l’activité habituelle de maçon n’était plus exigible depuis 1996 et que la capacité de travail était entière, sans diminution de rendement, dans toute activité respectant les limitations fonctionnelles énoncées en 1997, ajoutant qu’un travail exigeant une attention auditive particulière était contre-indiqué en raison de l’hypoacousie.</w:t>
      </w:r>
    </w:p>
    <w:p>
      <w:r>
        <w:rPr>
          <w:b/>
        </w:rPr>
        <w:t>E. 13</w:t>
      </w:r>
    </w:p>
    <w:p>
      <w:r>
        <w:t>juillet 2011). Dans ces conditions, force est de conclure que les rapports de ce médecin n’établissent pas l’existence d’une modification sensible de l’état de santé du recourant. En outre, le Dr D______ a attesté, à réitérées reprises, que l’activité habituelle de maçon n’était plus exigible (rapports des 18 mars, 13 juillet et 29 novembre 2011) et qu’étaient déconseillées, les tâches en positions debout, accroupie, à genoux, en alternance des positions assise et debout, en terrain irrégulier, ou encore celles impliquant le port de charges ou la montée d’escaliers. Il n’a donc jamais considéré que la capacité de travail du recourant serait nulle dans toute activité, mais a uniquement retenu des mesures classiques d’épargne du genou déjà signalées en 1997. Ces documents confirment donc que la capacité de gain du recourant n’a pas subi de changement important depuis la décision initiale. Partant, la chambre de céans constate que le rapport d’expertise du Dr H______ remplit toutes les exigences formelles auxquelles la jurisprudence soumet la valeur probante d’un tel document. Elle fera donc siennes ses conclusions et retiendra que l’atteinte orthopédique ne s’est pas sensiblement modifiée depuis 1997. b. S’agissant du diagnostic d’hypoacousie, une aggravation est signalée depuis 2003, sans que la survenance de cette atteinte ne soit expressément datée. Le Dr H______ a relevé que le recourant devait éviter les activités requérant une attention auditive particulière. Quant au Dr C______, spécialiste en oto-rhino-</w:t>
      </w:r>
    </w:p>
    <w:p>
      <w:r>
        <w:t>A/227/2014 - 15/21 - laryngologie, il a clairement exposé que l’hypoacousie ne justifiait aucune incapacité de travail puisque le recourant avait facilement pu la surmonter grâce à un appareillage binaural et que seule une ambiance bruyante devait être écartée (rapport du</w:t>
      </w:r>
    </w:p>
    <w:p>
      <w:r>
        <w:rPr>
          <w:b/>
        </w:rPr>
        <w:t>E. 15</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meures de réinsertion préparant à la réadaptation professionnelle (let. abis) et des mesures d’ordre professionnel (orientation professionnelle, formation professionnelle initiale, reclassement, placement, aide en capital) (let. b).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108 consid. 2a ; VSI 1997 p. 85 consid. 1).</w:t>
      </w:r>
    </w:p>
    <w:p>
      <w:r>
        <w:t>A/227/2014 - 17/21 - On rappellera encore qu'il n'existe pas un droit inconditionnel à obtenir une mesure professionnelle (arrêt du Tribunal fédéral des assurances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des assurances 9C_464/2009 du 31 mai 2010). c. Selon la Circulaire sur les mesures de réadaptation d’ordre professionnel de l’Office fédéral des assurances sociales (CMRP, valable dès le 1er janvier 2014)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(CMRP § 1006).</w:t>
      </w:r>
    </w:p>
    <w:p>
      <w:r>
        <w:rPr>
          <w:b/>
        </w:rPr>
        <w:t>E. 16</w:t>
      </w:r>
    </w:p>
    <w:p>
      <w:r>
        <w:t>a. Conformément à l’art. 15 LAI, l’assuré auquel son invalidité rend difficile le choix d’une profession ou l’exercice de son activité antérieure a droit à l’orientation professionnelle. b.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ou pour exercer l’activité exercée jusqu’alors (ATF 114 V 29 consid. 1a ; arrêt du Tribunal fédéral 9C_882/2008 du 29 octobre 2009 consid. 5.1 et les références).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w:t>
      </w:r>
    </w:p>
    <w:p>
      <w:r>
        <w:t>A/227/2014 - 18/21 - d'aptitudes ou encore les stages d'observation en milieu ou hors milieu professionnel (arrêt du Tribunal fédéral des assurances I 552/86 du 27 novembre 1987 consid. 4a, in RCC 1988 p. 191). c.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(CMRP § 2001). Elle incombe à l’office AI, lequel peut ordonner, à côté des méthodes et mesures habituelles d’orientation professionnelle, dont les stages pratiques, un examen plus étendu dans des centres spécialisés de formation professionnelle ou de réadaptation, sur le marché libre ou dans des centres d’observation professionnelle (COPAI). Cet examen sera effectué d’après un programme spécifiquement établi ou standardisé précisant clairement l’objectif (CMRP § 2003).</w:t>
      </w:r>
    </w:p>
    <w:p>
      <w:r>
        <w:rPr>
          <w:b/>
        </w:rPr>
        <w:t>E. 17</w:t>
      </w:r>
    </w:p>
    <w:p>
      <w:r>
        <w:t>a. Aux termes de l’art. 14a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socioprofessionnelles (let. a) et d’occupation (let. b) qui visent la réadaptation professionnelle (al. 2). b. Se prononçant sur le sens de l'art. 14a LAI dans le cadre d'une procédure visant à la coordination de la jurisprudence conformément à l'art. 23 LTF, les deux Cours de droit social du Tribunal fédéral réunies ont décidé, le 18 novembre 2010, que le droit à des mesures de réinsertion préparant à la réadaptation professionnelle suppose que l'assuré présente une incapacité de travail de 50 % au moins non seulement dans sa profession (art. 6 première phrase LPGA), mais également dans une autre profession ou un autre domaine d'activités (art. 6 seconde phrase LPGA) (arrêt du Tribunal fédéral 9C_597/2010 du 7 février 2011 consid. 2.2 ; pour les motifs qui conduisent à une telle interprétation, cf. arrêt du Tribunal fédéral 8C_303/2009 du 14 décembre 2010 consid. 7.a). c. La Circulaire sur les mesures de réinsertion de l’Office fédéral des assurances sociales (CMR, valable à partir du 1er janvier 2012) précise que, à partir d’une capacité de travail de 50 %, l’aptitude à la réadaptation est considérée comme acquise, et qu’il y a lieu de prévoir directement des mesures d’ordre professionnel. Celles-ci visent notamment à créer les conditions professionnelles d’une réinsertion dans la vie active et à entraîner les intéressés à les remplir. C’est ainsi qu’une personne ayant une capacité de travail d’au moins 50 % et qui est objectivement et subjectivement apte à la réadaptation peut voir cette capacité augmentée ou stimulée grâce à un entraînement au travail. En revanche, les mesures de réinsertion ont pour but essentiel de rendre aptes à la réadaptation des personnes qui ont une capacité de travail inférieure à 50 % (CMR § 1027).</w:t>
      </w:r>
    </w:p>
    <w:p>
      <w:r>
        <w:t>A/227/2014 - 19/21 -</w:t>
      </w:r>
    </w:p>
    <w:p>
      <w:r>
        <w:rPr>
          <w:b/>
        </w:rPr>
        <w:t>E. 18</w:t>
      </w:r>
    </w:p>
    <w:p>
      <w:r>
        <w:t>a. Conformément à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b.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des assurances I 552/06 du 13 juin 2007 consid. 4.1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w:t>
      </w:r>
    </w:p>
    <w:p>
      <w:r>
        <w:rPr>
          <w:b/>
        </w:rPr>
        <w:t>E. 19</w:t>
      </w:r>
    </w:p>
    <w:p>
      <w:r>
        <w:t>En l’occurrence, il ressort clairement des pièces versées à la procédure que le recourant présente une pleine et entière capacité de travail, sans diminution de rendement, dans une activité adaptée, et ce depuis décembre 1997. Eu égard à la jurisprudence fédérale, force est de constater que le droit à des mesures de réinsertion n’est pas ouvert. Reste donc à déterminer si le recourant peut prétendre à l'octroi de nouvelles mesures de réadaptation, étant rappelé que l’intimé lui reproche un manque d’engagement et estime avoir rempli son obligation en organisant une orientation professionnelle, laquelle comprenait un réentraînement au travail.</w:t>
      </w:r>
    </w:p>
    <w:p>
      <w:r>
        <w:rPr>
          <w:b/>
        </w:rPr>
        <w:t>E. 20</w:t>
      </w:r>
    </w:p>
    <w:p>
      <w:r>
        <w:t>La chambre de céans observe en premier lieu que l’orientation professionnelle mise en œuvre a permis de confirmer, à l'issue de stages effectués aux EPI entre le 26 août et le 11 octobre 2013, que les capacités physiques du recourant étaient compatibles avec des activités légères et pratiques en position assise lui permettant de se lever pour se détendre, et que ses facultés d’apprentissage lui permettaient de réaliser des activités simples et répétitives. Toutefois, il était relevé que le recourant était déconditionné et n’avait plus le rythme du monde du travail après tant d’années d’inactivité professionnelle. Un réentraînement progressif de six semaines a été mis en place, mais après s’être présenté les deux premiers jours, le recourant a produit des certificats médicaux jusqu’à l’issue de la mesure.</w:t>
      </w:r>
    </w:p>
    <w:p>
      <w:r>
        <w:t>A/227/2014 - 20/21 - Cette absence pour raisons médicales ne suffit pas à conclure à un manque de faculté subjective qui permettrait de considérer que de nouvelles mesures d’ordre professionnel seraient vouées à l’échec. Il y a notamment lieu de rappeler que selon l’art. 21 al. 4 LPGA, les prestations peuvent être refusées si l'assuré ne participe pas spontanément, dans les limites de ce qui peut être exigé de lui, à une mesure de réadaptation professionnelle exigible et susceptible d'améliorer notablement sa capacité de travail ou d'offrir une nouvelle possibilité de gain. Toutefois, une mise en demeure écrite l'avertissant des conséquences juridiques et lui impartissant un délai de réflexion convenable doit lui avoir été adressée. Or, l'intimé n'a pas effectué une telle sommation légale de sorte que la cause devra lui être renvoyée pour qu’il procède conformément à l’art. 21 al. 4 LPGA, avant de statuer formellement sur le droit aux mesures d’ordre professionnel en fonction de la suite que le recourant aura donné à cette mise en demeure. Cela étant, il sied de relever qu’il paraît illusoire que le recourant, âgé de 53 ans, déconditionné par près de 20 ans d’inactivité professionnelle, désormais incapable d’exercer un métier physique alors que sa dernière activité était un travail de maçon, puisse retrouver un quelconque emploi par ses propres moyens. L’octroi d'une mesure d'orientation professionnelle supplémentaire financée par l'intimé apparaît indispensable pour lui permettre un retour à la vie active et influencer positivement sa capacité de gain. D’ailleurs, le rapport des EPI précise qu’une longue période de réentraînement serait la meilleure solution pour une réinsertion progressive. En outre, prononcer de nouvelles mesures respecterait le principe selon lequel doit exister un rapport raisonnable entre la durée et les coûts de la mesure d’une part et l’efficacité de la réadaptation d’autre part, étant notamment rappelé que l’intimé n’a jamais mis en œuvre la moindre mesure avant 2013, et ce en dépit des conseils formulés par la Clinique de Bellikon en 1997, et a servi par erreur une rente au recourant pendant quatorze ans, contribuant ainsi à son déconditionnement. En cas de succès, l’assuré devrait pouvoir bénéficier d’autres mesures d’ordre professionnel.</w:t>
      </w:r>
    </w:p>
    <w:p>
      <w:r>
        <w:rPr>
          <w:b/>
        </w:rPr>
        <w:t>E. 21</w:t>
      </w:r>
    </w:p>
    <w:p>
      <w:r>
        <w:t>Au vu de ce qui précède, le recours sera partiellement admis et la décision du 6 décembre 2013 annulée au sens des considérants. Le recourant, représenté par un conseil et obtenant partiellement gain de cause, a droit à une indemnité à titre de participation à ses frais et dépens, que la chambre de céans fixe en l’espèce à CHF 1’000.- (art. 61 let. g LPGA et 89H al. 1 LPA). La procédure de recours en matière de contestations portant sur l’octroi ou le refus de prestations de l’assurance-invalidité étant soumise à des frais de justice (art. 69 al. 1bis LAI), un émolument de CHF 200.- sera mis à la charge de l’intimé.</w:t>
      </w:r>
    </w:p>
    <w:p>
      <w:r>
        <w:t>A/227/2014 - 21/21 -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