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ATAS/1086/2013 vom 6. November 2013</w:t>
      </w:r>
    </w:p>
    <w:p>
      <w:r>
        <w:t>GE Cour de justice, 2013-11-06, FR</w:t>
      </w:r>
    </w:p>
    <w:p>
      <w:r>
        <w:rPr>
          <w:b/>
        </w:rPr>
        <w:t xml:space="preserve">Quelle: </w:t>
      </w:r>
      <w:r>
        <w:t>https://mcp.opencaselaw.ch/entscheid/ge_gerichte_ATAS_1086_2013</w:t>
      </w:r>
    </w:p>
    <w:p>
      <w:r>
        <w:t>FR: GE_GERICHTE ATAS/1086/2013 du 6 novembre 2013</w:t>
      </w:r>
    </w:p>
    <w:p>
      <w:r>
        <w:t>IT: GE_GERICHTE ATAS/1086/2013 del 6 novembre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prévus par la loi, le recours est recevable (art. 56 et 60 LPGA).</w:t>
      </w:r>
    </w:p>
    <w:p>
      <w:r>
        <w:rPr>
          <w:b/>
        </w:rPr>
        <w:t>E. 3</w:t>
      </w:r>
    </w:p>
    <w:p>
      <w:r>
        <w:t>Le litige porte sur le droit du recourant à l’indemnité en cas d’insolvabilité.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subordonnée le droit à l'indemnité ressort de l'arrêt ATF 114 V 56 consid. 3d p. 59. Cela ne veut cependant pas dire qu'il faille exiger du salarié qu'il introduise sans délai une poursuite contre son ancien employeur (impliquant la notification d'un</w:t>
      </w:r>
    </w:p>
    <w:p>
      <w:r>
        <w:t>A/2392/2013 - 5/6 - commandement de payer aux frais de l'assuré). Il s'agit seulement d'éviter que l'assuré reste inactif et n'entreprenne rien pour récupérer son salaire impayé, en attendant le prononcé de la faillite de son ex-employeur (DTA 1999 n° 24 p. 143). Selon la jurisprudence, des interventions orales ne suffisent pas pour satisfaire à l’obligation de réduire le dommage (voir arrêts C 121/03 et C 145/03 du 2 septembre 2003, C 367/01 du 12 avril 2002, 8C_956/2012 du 19 août 2013).</w:t>
      </w:r>
    </w:p>
    <w:p>
      <w:r>
        <w:rPr>
          <w:b/>
        </w:rPr>
        <w:t>E. 4</w:t>
      </w:r>
    </w:p>
    <w:p>
      <w:r>
        <w:t>En l’espèce, le recourant ne conteste pas n’avoir pas agi contre son ex-employeur entre la fin des rapports de travail le 30 juin 2012 et le prononcé de la faillite. Il a certes produit sa créance dans la faillite le 17 avril 2013, soit plus de dix mois après la fin des rapports de travail. Le recourant allègue cependant qu’il ne savait pas comment procéder, dès lors que l’administratrice avait quitté la société et que le responsable, qui avait promis de payer les salaires, était en prison. Or, rien ne l’empêchait cependant d’agir contre la société, qui était l’employeur, par le biais de sommations, voire d’une poursuite. La société a d’ailleurs été mise en faillite par d’autres ex-employés. Force est d’admettre qu’en l’absence de démarches durant plus de dix mois, le recourant s’est accommodé de la situation et a ainsi pris le risque de ne plus pouvoir encaisser ses arriérés de salaires. Au vu de ce qui précède, l’intimée était fondée à considérer que cette absence de démarches constitue une violation de l’obligation de réduire le dommage et, partant, à entraîner la perte du droit à l’indemnité en cas d’insolvabilité.</w:t>
      </w:r>
    </w:p>
    <w:p>
      <w:r>
        <w:rPr>
          <w:b/>
        </w:rPr>
        <w:t>E. 5</w:t>
      </w:r>
    </w:p>
    <w:p>
      <w:r>
        <w:t>Mal fondé, le recours est rejeté.</w:t>
      </w:r>
    </w:p>
    <w:p>
      <w:r>
        <w:t>A/2392/2013 - 6/6 -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