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ATAS/1085/2021 vom 27. Oktober 2021</w:t>
      </w:r>
    </w:p>
    <w:p>
      <w:r>
        <w:t>GE Cour de justice, 2021-10-27, FR</w:t>
      </w:r>
    </w:p>
    <w:p>
      <w:r>
        <w:rPr>
          <w:b/>
        </w:rPr>
        <w:t xml:space="preserve">Quelle: </w:t>
      </w:r>
      <w:r>
        <w:t>https://mcp.opencaselaw.ch/entscheid/ge_gerichte_ATAS_1085_2021</w:t>
      </w:r>
    </w:p>
    <w:p>
      <w:r>
        <w:t>FR: GE_GERICHTE ATAS/1085/2021 du 27 octobre 2021</w:t>
      </w:r>
    </w:p>
    <w:p>
      <w:r>
        <w:t>IT: GE_GERICHTE ATAS/1085/2021 del 27 ottobre 2021</w:t>
      </w:r>
    </w:p>
    <w:p>
      <w:pPr>
        <w:pStyle w:val="Heading2"/>
      </w:pPr>
      <w:r>
        <w:t>Erwägungen</w:t>
      </w:r>
    </w:p>
    <w:p>
      <w:r>
        <w:rPr>
          <w:b/>
        </w:rPr>
        <w:t>E. 5</w:t>
      </w:r>
    </w:p>
    <w:p>
      <w:r>
        <w:t>5.1. Le recourant s’est prévalu d’une violation du droit d’être entendu, au motif que le rapport d’expertise ne lui avait pas été transmis et que la décision querellée n’était pas assez motivée car elle ne mentionnait pas les parties du rapport</w:t>
      </w:r>
    </w:p>
    <w:p>
      <w:r>
        <w:t>A/3518/2020 - 11/17 - d’expertise qui fondaient son refus de prestation, ni le contenu des rapports de ses médecins traitants. Selon l’intimé, la décision litigieuse expliquait que les éléments médicaux du dossier ne permettaient pas de retenir une atteinte invalidante au sens de la loi. Elle mentionnait que les éléments fournis dans le cadre de l’audition représentaient une appréciation différente d’une situation clinique similaire appréciée par l’expert. Le recourant avait déposé recours auprès de la chambre de céans, qui avait un plein pouvoir de cognition, de sorte que son droit d’être entendu était de toute manière respecté.</w:t>
      </w:r>
    </w:p>
    <w:p>
      <w:r>
        <w:rPr>
          <w:b/>
        </w:rPr>
        <w:t>E. 5.2</w:t>
      </w:r>
    </w:p>
    <w:p>
      <w:r>
        <w:t>Tel que garanti par l'art. 29 al. 2 Cst., le droit d'être entendu comprend, notamment, le droit pour l'intéressé de prendre connaissance du dossier (ATF 126 I</w:t>
      </w:r>
    </w:p>
    <w:p>
      <w:r>
        <w:rPr>
          <w:b/>
        </w:rPr>
        <w:t>E. 5.4</w:t>
      </w:r>
    </w:p>
    <w:p>
      <w:r>
        <w:t>Le grief de la violation du droit d’être entendu sera en conséquence écarté.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7</w:t>
      </w:r>
    </w:p>
    <w:p>
      <w:r>
        <w:t>La jurisprudence a retenu dans des causes relevant de l'assurance-invalidité que tant que l'état de santé de l’assuré n'est pas stabilisé, l'examen porte sur la capacité de travail dans l'activité habituelle, et qu’il doit porter sur la capacité de travail exigible</w:t>
      </w:r>
    </w:p>
    <w:p>
      <w:r>
        <w:t>A/3518/2020 - 13/17 - dans une activité adaptée depuis sa stabilisation (arrêt du Tribunal fédéral 9C_881/2010 du 23 août 2011 consid. 3.2; ATAS/56/2016 du 27 janvier 2016 consid. 10; cf. également ATAS/784/2016 du 29 septembre 2016 consid. 11).</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w:t>
      </w:r>
    </w:p>
    <w:p>
      <w:r>
        <w:t>A/3518/2020 - 14/17 -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11</w:t>
      </w:r>
    </w:p>
    <w:p>
      <w:r>
        <w:t>11.1. En l’espèce, le recourant a fait valoir qu’il fallait retenir du rapport d'expertise qu'à défaut de sevrage morphinique, de période d'observation conséquente et d'ajustement des antalgiques pour prévenir le retour des douleurs, la capacité de travail du recourant était nulle depuis le 31 janvier 2018. Il a également contesté la décision au motif qu’elle reposait sur une expertise mono-disciplinaire qui n'était pertinente que sur le plan strictement rhumatologique L'experte avait reconnu qu’il était incapable de travailler pour d'autres facteurs, notamment pharmacologiques et psychiatriques. Selon l’intimé, il convenait de suivre les conclusions de l’experte, qui retenait une capacité de travail de 100% dans la profession de coordinateur en insertion, dans laquelle l'assuré était réadapté ou dans toute autre profession respectant les mêmes limitations fonctionnelles.</w:t>
      </w:r>
    </w:p>
    <w:p>
      <w:r>
        <w:rPr>
          <w:b/>
        </w:rPr>
        <w:t>E. 11.2</w:t>
      </w:r>
    </w:p>
    <w:p>
      <w:r>
        <w:t>La chambre de céans constate que si l’experte a retenu dans son rapport du 5 mai 2020, une capacité de travail de 100% du point de vue purement rhumatologique, elle semble avoir admis une incapacité de travail du recourant liée à ses troubles de la concentration et de la mémorisation ainsi qu’en raison d’un probable burnout qui l’avait empêché de remplir son cahier des charges. Cela ressort en particulier du fait qu’elle a indiqué qu’une fois le sevrage des morphiniques entrepris, il faudrait probablement six mois pour le terminer et que les difficultés psychiques avec la fatigue mentale s’atténuent et qu’une fois ceci effectué, l’assuré aurait plus de visibilité pour envoyer des lettres de motivation pour des candidatures dans le même domaine professionnel qu’il avait exercé. Même si cette dernière conclusion n’est qu’indirectement en lien avec la rhumatologie, puisqu’il s’agit de l’effet des médicaments morphiniques sur la capacité de travail, l’experte apparaît compétente pour se prononcer à ce sujet, dès lors qu’il s’agit de médicaments utilisés couramment pour soulager les patients de douleurs liées à des atteintes rhumatologiques. Elle n’avait en revanche pas à tenir compte d’un éventuel burnout, qui n’entre pas dans son champ de compétence.</w:t>
      </w:r>
    </w:p>
    <w:p>
      <w:r>
        <w:t>A/3518/2020 - 15/17 - Dans ces circonstances, l’intimé ne pouvait retenir que le recourant était totalement capable de travailler depuis janvier 2018 dans son activité habituelle, qui requérait de la concentration. Il était prématuré de considérer que l’état de santé du recourant était stabilisé et d’évaluer son droit à la rente dans une activité adaptée avant de s’être assuré qu’il avait pu se sevrer des morphiniques et retrouver une capacité de concentration lui permettant de travailler. Or, il résulte des rapports médicaux du Dr B______ des 21 septembre et 21 décembre 2010 que malgré la bonne volonté du recourant, celui-ci n’a pu être sevré. Par ailleurs, l’intimé ne pouvait soutenir, le 30 mars 2021, qu’on ne pouvait retenir l’existence de troubles cognitifs, au motif que l’examen réalisé par le Dr E______ en 2019 avait démontré un fonctionnement normal de toutes les fonctions investiguées, y compris différents types de mémoire et d’attention. En effet, l’intimé a ainsi omis de prendre en compte la suite du rapport du Dr J______, qui précisait que les plaintes du recourant et les questionnaires d’auto-observation aiguillaient vers des défaillances d’attention liés à un déficit de sommeil réparateur et aux effets secondaires de l’antalgie majeure. Il retenait que les capacités intellectuelles, si elles étaient suffisantes pour une réinsertion professionnelle, présentaient des fluctuations en raison de troubles de l’attention et de la concentration liés à son déficit de sommeil réparateur et/ou à l’antalgie. Ainsi, ce rapport confirme au contraire les constats de l’experte, à savoir que le lourd traitement médicamenteux du recourant impactait sa capacité de concentration et en conséquence sa capacité de travail. La décision de l’intimé est ainsi fondée sur des conclusions erronées et sur une instruction insuffisante, de sorte qu’elle doit être annulée. La cause sera renvoyée à l’intimé pour instruction complémentaire, afin d’établir de manière plus précise la capacité de travail du recourant et son évolution pendant la période considérée, dans son activité devenue habituelle pour K______, qui demandait des capacités de concentration, et dans une activité adaptée, une fois son état considéré comme stabilisé, en tenant compte des rapports du Dr B______ des 21 septembre et 21 décembre 2010. L’expertise devra également porter sur la question de savoir si l’arrêt des morphiniques est exigible du recourant. Un complément d’expertise par la Dresse G______ pourrait éventuellement suffire. Celle-ci pourra également préciser si elle est compétente pour se prononcer sur l’impact des morphiniques sur la capacité de travail ou si un spécialiste en pharmacologie, voire une autre spécialiste, serait plus à même de se prononcer à ce sujet.</w:t>
      </w:r>
    </w:p>
    <w:p>
      <w:r>
        <w:rPr>
          <w:b/>
        </w:rPr>
        <w:t>E. 11.3</w:t>
      </w:r>
    </w:p>
    <w:p>
      <w:r>
        <w:t>Se pose encore la question de la nécessité d’une instruction complémentaire sur le plan psychiatrique requise par le recourant. Il faut convenir avec l’intimé que le rapport du Dr I______ du 1er février 2021 ne rend pas vraisemblable que le recourant a pu être impacté dans sa capacité de travail sur le plan psychiatrique, mais cette hypothèse a été soulevée par l’experte, qui a évoqué un burnout en lien avec les difficultés de concentration du recourant.</w:t>
      </w:r>
    </w:p>
    <w:p>
      <w:r>
        <w:t>A/3518/2020 - 16/17 - Le Dr F______ a également estimé nécessaire pour évaluer la capacité de travail de celui-ci de demander un avis psychiatrique, dès lors qu’il se plaignait d’importantes difficultés de mémoire. Il fallait selon lui se fonder sur un examen neuropsychologique et examiner si le recourant souffrait d’un état dépressif. De plus, dans son rapport du 21 décembre 2020, le Dr B______ a indiqué que depuis 2018, l’assuré avait présenté des troubles anxieux de type crises de panique, qui avaient nécessité la mise en place d’un traitement de Cipralex et Remeron, associés à du Temesta ainsi qu’un suivi psychiatrique avec le Dr H______. En conclusion, il apparaît nécessaire de demander, dans un premier temps, un rapport au Dr H______, puis éventuellement de faire procéder à une expertise psychiatrique indépendante pour déterminer si une atteinte psychique a pu impacter la capacité de travail du recourant dès janvier 2018 et cas échéant avec quelle évolution dans le temps. Cela étant, une telle expertise ne sera pas nécessaire, s’il est établi que la capacité de travail du recourant était de 0% jusqu’au moment de la décision querellée en raison des effets des morphiniques, étant relevé que l’état de santé du recourant sur le plan psychiatrique s’est manifestement amélioré, puisqu’il a déclaré à la chambre de céans avoir arrêté son suivi en mars 2021, car il allait alors relativement bien. S’agissant de l’examen neuropsychologique, un tel examen a été effectué par le Dr J______, dont les conclusions n’apparaissent pas sérieusement contestées. Un nouvel examen n’apparaît dès lors pas nécessaire, sous réserve de l’avis de l’expert psychiatre.</w:t>
      </w:r>
    </w:p>
    <w:p>
      <w:r>
        <w:rPr>
          <w:b/>
        </w:rPr>
        <w:t>E. 12</w:t>
      </w:r>
    </w:p>
    <w:p>
      <w:r>
        <w:t>Au vu de ce qui précède, le recours sera partiellement admis, la décision du 7 octobre 2020 annulée et la cause renvoyée à l’intimé pour instruction complémentaire. Un tel renvoi se justifie dès lors qu’il y a lieu de demander un complément d’expertise et d’instruire l’aspect psychiatrique, voire l’aspect pharmacologique, questions restées non instruites jusqu'ici.</w:t>
      </w:r>
    </w:p>
    <w:p>
      <w:r>
        <w:rPr>
          <w:b/>
        </w:rPr>
        <w:t>E. 13</w:t>
      </w:r>
    </w:p>
    <w:p>
      <w:r>
        <w:t>La chambre de céans ne donnera pas suite aux demandes d’audition requises par le recourant, celles-ci n’apparaissant pas en mesure de pallier l’insuffisance de l’instruction.</w:t>
      </w:r>
    </w:p>
    <w:p>
      <w:r>
        <w:rPr>
          <w:b/>
        </w:rPr>
        <w:t>E. 14</w:t>
      </w:r>
    </w:p>
    <w:p>
      <w:r>
        <w:t>Le recourant obtenant gain de cause et étant assisté d’un conseil, une indemnité de CHF 2’500.- lui sera accordée à titre de participation à ses frais et dépens (art. 61 let. g LPGA; art. 6 du règlement sur les frais, émoluments et indemnités en matière administrative du 30 juillet 1986 [RFPA - E 5 10.03]).</w:t>
      </w:r>
    </w:p>
    <w:p>
      <w:r>
        <w:rPr>
          <w:b/>
        </w:rPr>
        <w:t>E. 15</w:t>
      </w:r>
    </w:p>
    <w:p>
      <w:r>
        <w:t>Au vu du sort du recours, il y a lieu de condamner l'intimé au paiement d'un émolument de CHF 200.- (art. 69 al. 1bis LAI). ***</w:t>
      </w:r>
    </w:p>
    <w:p>
      <w:r>
        <w:t>A/3518/2020 - 17/17 -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