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ATAS/1085/2020 vom 17. November 2020</w:t>
      </w:r>
    </w:p>
    <w:p>
      <w:r>
        <w:t>GE Cour de justice, 2020-11-17, FR</w:t>
      </w:r>
    </w:p>
    <w:p>
      <w:r>
        <w:rPr>
          <w:b/>
        </w:rPr>
        <w:t xml:space="preserve">Quelle: </w:t>
      </w:r>
      <w:r>
        <w:t>https://mcp.opencaselaw.ch/entscheid/ge_gerichte_ATAS_1085_2020</w:t>
      </w:r>
    </w:p>
    <w:p>
      <w:r>
        <w:t>FR: GE_GERICHTE ATAS/1085/2020 du 17 novembre 2020</w:t>
      </w:r>
    </w:p>
    <w:p>
      <w:r>
        <w:t>IT: GE_GERICHTE ATAS/1085/2020 del 17 novembre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w:t>
      </w:r>
    </w:p>
    <w:p>
      <w:r>
        <w:rPr>
          <w:b/>
        </w:rPr>
        <w:t>E. 3</w:t>
      </w:r>
    </w:p>
    <w:p>
      <w:r>
        <w:t>Interjeté dans la forme et le délai prévus par la loi, compte tenu de la suspension des délais pendant la période du 18 décembre 2019 au 2 janvier 2020 inclusivement (art. 38 al. 4 let. c LPGA et art. 89C let. c de la de loi sur la procédure administrative du 12 septembre 1985 [LPA - E 5 10], le recours est recevable (art. 56 ss LPGA et 62 ss LPA).</w:t>
      </w:r>
    </w:p>
    <w:p>
      <w:r>
        <w:rPr>
          <w:b/>
        </w:rPr>
        <w:t>E. 4</w:t>
      </w:r>
    </w:p>
    <w:p>
      <w:r>
        <w:t>Le litige porte sur la question de savoir si c’est à juste titre que l’intimé a requis du recourant la restitution de CHF 5'107.- pour la période du 1er septembre 2018 au 30 novembre 2019, suite à l’octroi d’une rente d’invalidité en faveur de son épouse à compter du 1er septembre 2018.</w:t>
      </w:r>
    </w:p>
    <w:p>
      <w:r>
        <w:rPr>
          <w:b/>
        </w:rPr>
        <w:t>E. 5</w:t>
      </w:r>
    </w:p>
    <w:p>
      <w:r>
        <w:t>a. A titre liminaire, il convient d’examiner si la présente cause doit être jointe à celle enregistrée sous le n° A/94/2020, comme le sollicite le recourant. b. Selon l'art. 70 LPA, l'autorité peut, d'office ou sur requête, joindre en une même procédure des affaires qui se rapportent à une situation identique ou à une cause juridique commune (al. 1). La jonction n'est toutefois pas ordonnée si la première procédure est en état d'être jugée alors que la ou les autres viennent d'être introduites (al. 2). Selon la doctrine et la jurisprudence, l'art. 70 LPA est une norme potestative. La décision de joindre ou non des causes en droit administratif procède ainsi avant tout de l'exercice du pouvoir d'appréciation du juge, qui est large en la matière. Elle peut également reposer sur des considérations d'économie de procédure, ce que l'art. 70 al. 2 LPA rappelle du reste expressément. Une jonction des causes ne présente d'utilité que si elle permet de simplifier la procédure ; elle se justifie en présence de situations identiques (Stéphane GRODECKI / Romain JORDAN, Code annoté de</w:t>
      </w:r>
    </w:p>
    <w:p>
      <w:r>
        <w:t>A/95/2020 - 5/14 - procédure administrative genevoise, 2017, p. 237 et références jurisprudentielles citées). c. En l'occurrence, il y a lieu d'observer que la décision du 26 novembre 2019 faisant l’objet du recours enregistré sous le n° A/94/2020 porte sur la restitution de prestations versées à tort du 1er mars 2017 au 31 août 2018, dont une partie a été compensée avec le rétroactif des rentes dû à l’épouse du recourant. Quant au solde, il a, postérieurement au dépôt du recours, fait l’objet d’une remise (cf. décision de la Caisse du 16 janvier 2020). La décision du 26 novembre 2019 faisant l’objet du présent recours, porte, quant à elle, sur la restitution de prestations versées à tort du 1er septembre 2018 au 30 novembre 2019, dont le montant a été entièrement compensé par le rétroactif des rentes dû à l’épouse du recourant. Outre le fait que les deux décisions ne se recoupent pas dans le temps, il apparaît, de plus, que la décision faisant l’objet de la cause n° A/94/2020 - contrairement à celle faisant l’objet du présent recours - porte sur une période au cours de laquelle l’épouse du recourant ne bénéficiait pas encore du versement d’une rente d’invalidité. Les complexes de fait concernant ces deux décisions n’étant pas de même nature, la chambre de céans considère qu’une jonction des causes ne se justifie dès lors pas.</w:t>
      </w:r>
    </w:p>
    <w:p>
      <w:r>
        <w:rPr>
          <w:b/>
        </w:rPr>
        <w:t>E. 6</w:t>
      </w:r>
    </w:p>
    <w:p>
      <w:r>
        <w:t>a. Selon l'art. 25 al. 1 LPGA, les prestations indûment touchées doivent être restituées (1ère phrase). La restitution ne peut être exigée lorsque l’intéressé était de bonne foi et qu’elle le mettrait dans une situation difficile (2ème phrase). En vertu de l'art. 3 al. 1 de l’ordonnance sur la partie générale du droit des assurances sociales du 11 septembre 2002 (OPGA - RS 830.11), l’étendue de l’obligation de restituer est fixée par une décision. b. L'obligation de restituer suppose aujourd'hui encore, conformément à la jurisprudence rendue à propos des anciens articles 47 al. 1 de la loi fédérale sur l'assurance-vieillesse et survivants, du 20 décembre 1946 (LAVS - RS 831.10) ou 95 de la loi fédérale sur l'assurance-chômage obligatoire et l'indemnité en cas d'insolvabilité, du 25 juin 1982 (LACI - RS 837.0) (p. ex. ATF 129 V 110 consid. 1.1; ATF 126 V 23 consid. 4b et ATF 122 V 19 consid. 3a), que soient remplies les conditions d'une reconsidération ou d'une révision procédurale de la décision - formelle ou non - par laquelle les prestations en cause ont été allouées (ATF 130 V 318 consid. 5.2; arrêt du Tribunal fédéral des assurances P 32/06 du 14 novembre 2006 consid. 3 et les références). Ceci est confirmé sous l'empire de la LPGA (arrêt du Tribunal fédéral 8C_512/2008 du 4 janvier 2009 consid. 4).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134 consid. 2c ; ATF 122 V 169 consid. 4a et ATF 122 V 19 consid. 3a; ATF 121 V 1 consid. 6), de la reconsidération d'une décision formellement passée en force de chose décidée sur</w:t>
      </w:r>
    </w:p>
    <w:p>
      <w:r>
        <w:t>A/95/2020 - 6/14 - laquelle une autorité judiciaire ne s'est pas prononcée quant au fond, à laquelle l'administration peut procéder pour autant que la décision soit sans nul doute erronée et que sa rectification revête une importance notable (ATF 122 V 169 consid. 4a et ATF 122 V 19 consid. 3a; ATF 121 V 1 consid. 6).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8C_689/2016 du 5 juillet 2017 consid. 3.1). c. En vertu de l'art. 25 al. 2 1ère phrase LPGA, le droit de demander la restitution s'éteint un an après le moment où l'institution d’assurance a eu connaissance du fait, mais au plus tard cinq ans après le versement de la prestation. Les délais de l’art. 25 al. 2 LPGA sont des délais (relatif et absolu) de péremption, qui doivent être examinés d'office (ATF 133 V 579 consid. 4; ATF 128 V</w:t>
      </w:r>
    </w:p>
    <w:p>
      <w:r>
        <w:rPr>
          <w:b/>
        </w:rPr>
        <w:t>E. 10</w:t>
      </w:r>
    </w:p>
    <w:p>
      <w:r>
        <w:t>Le recourant fait valoir également que l’intimé n’était pas en droit de compenser sa créance en restitution du trop-perçu avec le rétroactif de la rente d’invalidité due à son épouse à compter du 1er septembre 2018.</w:t>
      </w:r>
    </w:p>
    <w:p>
      <w:r>
        <w:rPr>
          <w:b/>
        </w:rPr>
        <w:t>E. 11</w:t>
      </w:r>
    </w:p>
    <w:p>
      <w:r>
        <w:t>a. Selon la doctrine et la jurisprudence, la compensation de créances réciproques constitue un principe juridique général, ancré en droit privé aux art. 120 ss de la loi fédérale du 30 mars 1911, complétant le Code civil suisse (CO, Code des obligations - RS 220). En droit des assurances sociales plus particulièrement, certaines lois spéciales règlent la compensation des créances (par exemple les art. 20 al. 2 LAVS [ATF 115 V 341 consid. 2b], 50 LAI et 50 LAA). En l’absence d’une réglementation particulière, le principe de la compensation des créances de droit public est admis comme règle générale. Dans ce cas, les dispositions du CO qui en fixent les conditions sont applicables par analogie (ATF 130 V 505 consid. 2 et 3). La situation décrite ci-dessus n’a pas été modifiée par l’entrée en vigueur de la LPGA (ATF 130 V 505 consid. 2.1). Selon l'art. 20 al. 2 let. a LAVS, peuvent être compensées avec des prestations échues, notamment, les créances découlant de ladite loi et de la LAI. Cette disposition est applicable dans le domaine de l'assurance-invalidité en vertu de l'art. 50 al. 2 LAI. Selon la pratique administrative, les prestations versées à tort à l'un des conjoints ne peuvent être compensées avec des prestations échues revenant à l'autre conjoint. Une exception est possible s'il existe un lien étroit, sous l'angle du droit des assurances sociales, entre les prestations revenant à chacun des époux. Cette condition est réalisée, par exemple, lorsqu'à la suite de la réalisation du deuxième risque assuré, la rente du premier conjoint doit être diminuée en raison du plafonnement ou lorsque les deux rentes des conjoints doivent être à nouveau plafonnées en raison d’une modification des bases de calcul (OFAS, DR, ch. 10907 et 10908). Dans un arrêt du 13 octobre 2004 (ATF 130 V 505), le Tribunal fédéral a admis la légalité du ch. 10908 de la directive précitée. Il a précisé que la compensation en droit public, donc en droit des assurances sociales, est subordonnée à la condition que deux personnes soient, réciproquement, créancières et débitrices l'une de l'autre, selon l'art. 120 CO. Cette règle n'est cependant pas absolue. Il a toujours été admis, en effet, que l'art. 20 LAVS y déroge dans une certaine mesure pour prendre en compte les particularités relatives aux assurances sociales en ce qui concerne précisément cette condition de la réciprocité des sujets de droit posée par l'art. 120 al. 1 CO. La possibilité de compenser s'écarte de l'art. 120 al. 1 CO quand les créances opposées en compensation se trouvent en relation étroite, du point de vue de la technique d'assurance ou du point de vue juridique: dans ces situations, il n'est pas nécessaire que l'administré ou l'assuré soit en même temps créancier et débiteur de l'administration (consid. 2.4). Le Tribunal fédéral a également rappelé qu’une telle relation étroite a été admise entre la créance en restitution d'une rente d'invalidité assortie de rentes complémentaires à l'encontre de l'un des conjoints</w:t>
      </w:r>
    </w:p>
    <w:p>
      <w:r>
        <w:t>A/95/2020 - 11/14 - opposée en compensation à des arrérages de rentes d'invalidité versés à l'autre conjoint. Selon le Tribunal fédéral, les prestations versées en premier à l'un des conjoints (le mari) ne sont pas indues tant et aussi longtemps qu'un deuxième cas d'assurance n'est pas survenu en la personne de l'autre conjoint (la femme); elles le sont en revanche devenues automatiquement lors de la réalisation de la deuxième éventualité assurée. Les créances en restitution à l'égard du mari sont dès lors indissociablement liées aux prestations allouées à son épouse. Le Tribunal fédéral a encore précisé que sous l'angle économique, les rentes allouées à l'époux ont le même but que les rentes accordées ensuite à l'épouse avec effet rétroactif, à savoir procurer au couple, en tant qu'entité économique, un revenu de remplacement destiné à couvrir les besoins vitaux de la famille. Les rentes versées ultérieurement à l'autre conjoint prenaient, pour une part, la place des prestations versées précédemment en trop à l'autre conjoint, de sorte qu'il existe, de ce point de vue également, un rapport nécessaire de connexité entre les prestations revenant au couple. L'interdépendance des rentes individuelles des époux est également mise en évidence par les effets du plafonnement des rentes prévu par l'art. 35 LAVS, ce plafonnement s'expliquant, aux yeux du législateur, par le fait que le couple représente en soi une unité économique, dont les besoins financiers sont censés être inférieurs à ceux de deux personnes vivant seules (arrêt du Tribunal fédéral 9C_682/2010 du 29 avril 2011 consid. 1.2). Le Tribunal fédéral a encore confirmé sa position en expliquant que le droit de l’épouse à une rente d'invalidité implique nécessairement une modification des prestations accordées précédemment à son époux (rente d'invalidité et rente complémentaire pour conjoint). Une telle interdépendance entre la part de rente d'invalidité versée en trop à l'un des conjoints et la rente d'invalidité allouée rétroactivement à l'autre conjoint est inhérente au système de calcul des rentes de l'assurance-vieillesse et survivants/assurance- invalidité en cas de réalisation d'un deuxième cas d'assurance chez un couple marié. La survenance du second cas d'assurance en la personne du conjoint qui ne bénéficiait jusqu'alors pas d'une rente déclenche la mise en œuvre du « splitting » prévu dans les trois éventualités énumérées aux let. a à c de l'art. 29quinquies al. 3 LAVS (ATF 137 V 175 consid. 2.2.1). Une des conditions de la compensation est qu'elle ne peut porter atteinte au minimum vital de l'assuré, calculé selon les règles du droit des poursuites (ATF 138 V 402 consid. 4.2; ATF 138 V 235 consid. 7.2; ATF 136 V 286 consid. 6.1; ATF 131 V 249 consid. 1.2). En cas de versement rétroactif de prestations périodiques, la limite de compensation relative au minimum vital doit être examinée pour la même période, soit pour l'espace de temps dans lequel le versement rétroactif des prestations est destiné (ATF 138 V 402 consid. 4.2 et 4.5 ; arrêt du Tribunal fédéral 8C_804/2017 du 9 octobre 2018 consid. 3.1). Toutefois, en cas de paiements rétroactifs de rentes pour des périodes antérieures, le maintien du minimum vital ne doit pas être pris en compte comme limite de compensation lorsque la rente allouée à titre rétroactif remplace simplement une rente accordée</w:t>
      </w:r>
    </w:p>
    <w:p>
      <w:r>
        <w:t>A/95/2020 - 12/14 - pour une période antérieure et que les deux s’excluent mutuellement (ATF 138 V 402). b. Sur le plan procédural, au regard de l'art. 25 LPGA et de la jurisprudence y relative, la procédure de restitution de prestations implique trois étapes, en principe distinctes: une première décision sur le caractère indu des prestations, soit sur le point de savoir si les conditions d'une reconsidération de la décision par laquelle celles-ci étaient allouées sont réalisées; une seconde décision sur la restitution en tant que telle des prestations, qui comprend en particulier l'examen des effets rétroactifs ou non de la correction à opérer en raison du caractère indu des prestations, à la lumière de l'art. 25 al. 1, 1ère phrase LPGA et des dispositions particulières et, le cas échéant, une troisième décision sur la remise de l'obligation de restituer au sens de l'art. 25 al. 1, 2ème phrase LPGA (cf. art. 3 et 4 OPGA; arrêt du Tribunal fédéral 9C_678/2011 du 4 janvier 2012 consid. 5.2 et les références citées). La décision sur la restitution en tant que telle est susceptible d'être rendue en même temps que la décision sur le caractère indu des prestations (ATAS/375/2020 du 14 mai 2020 consid. 6c). L'extinction de la créance en restitution par voie de compensation ne peut intervenir, aux conditions requises, qu'une fois qu'il a été statué définitivement sur la restitution et sur une éventuelle demande de remise de l'obligation de restituer. L'opposition et le recours formés contre une décision en matière de restitution ont un effet suspensif. Une compensation immédiate ferait perdre à l'assuré la possibilité de contester la restitution et, le cas échéant, de demander une remise de l'obligation de restituer. Une remise de l'obligation de restituer n'entre toutefois pas en considération dans la mesure où cette obligation peut être éteinte par compensation avec des prestations d'autres assurances sociales, soit lorsque des prestations déjà versées sont remplacées par d'autres prestations, dues à un autre titre, et que la compensation intervient entre ces prestations conformément au principe de concordance temporelle. Dans cette éventualité, la fortune de l'intéressé astreint à l'obligation de restituer ne subit aucun changement qui le mettrait dans une situation difficile, de sorte que la question de la remise n'a pas à être examinée (arrêt du Tribunal fédéral 8C_804/2017 du 9 octobre 2018 consid. 3.2 et 3.3 et les références citées ; cf. également ATF 138 V 402 consid. 4.4 et ATF 130 V 505 consid. 2.9).</w:t>
      </w:r>
    </w:p>
    <w:p>
      <w:r>
        <w:rPr>
          <w:b/>
        </w:rPr>
        <w:t>E. 12</w:t>
      </w:r>
    </w:p>
    <w:p>
      <w:r>
        <w:t>En l’occurrence, l’intimé a, dans le cadre de sa décision de restitution du montant de CHF 5'107.-, à titre de prestations versées en trop du 1er septembre 2018 au 30 novembre 2019, requis la compensation immédiate de cette somme avec une partie du rétroactif des rentes revenant à l’épouse du recourant à compter du 1er septembre 2018. Au de la jurisprudence, il y a lieu d’admettre que la créance en restitution à l’égard du recourant est indissociablement liée aux prestations allouées à son épouse. En effet, la rente due à l’épouse du recourant à compter du 1er septembre 2018 a entraîné une réduction des prestations versées précédemment au recourant. Ces</w:t>
      </w:r>
    </w:p>
    <w:p>
      <w:r>
        <w:t>A/95/2020 - 13/14 - prestations n’étaient pas indues tant et aussi longtemps qu’un deuxième cas d’assurance n’était pas survenu en la personne de l’épouse du recourant. Au vu du lien étroit existant entre la créance en restitution de l’intimé à l’égard du recourant et les prestations revenant à son épouse, l’intimé était en droit de procéder à la compensation de sa créance en restitution avec une partie du rétroactif dû à l’épouse. Par ailleurs, c’est à juste titre que l’intimé a requis une compensation immédiate, sans attendre une éventuelle demande de remise de l’obligation de restituer et sans examiner la question du maintien du minimum vital comme limite de compensation. En effet, dès lors qu’une partie des rentes versées au recourant du 1er septembre 2018 au 30 novembre 2019 est devenue indue en raison des prestations rétroactives dues, pour la même période, à son épouse, et que les deux s’excluaient mutuellement, une remise de l’obligation de restituer ainsi que le maintien du minimum vital n’entraient pas en considération. Admettre le contraire conduirait à un cumul injustifié de prestations (cf. ATF 138 V 402 consid. 4.5 et ATF 130 V 505 consid. 2.9). L’intimé était ainsi en droit de procéder à la compensation immédiate de sa créance en restitution de CHF 5'107.- à titre de prestations versées indûment du 1er septembre 2018 au 30 novembre 2019.</w:t>
      </w:r>
    </w:p>
    <w:p>
      <w:r>
        <w:rPr>
          <w:b/>
        </w:rPr>
        <w:t>E. 13</w:t>
      </w:r>
    </w:p>
    <w:p>
      <w:r>
        <w:t>Compte tenu de ce qui précède, la décision litigieuse ne prête pas le flanc à la critique et le recours doit être rejeté.</w:t>
      </w:r>
    </w:p>
    <w:p>
      <w:r>
        <w:rPr>
          <w:b/>
        </w:rPr>
        <w:t>E. 14</w:t>
      </w:r>
    </w:p>
    <w:p>
      <w:r>
        <w:t>Le recours ne portant pas sur l’octroi ou le refus de prestations de l’AI, la procédure est gratuite (art. 69 al. 1bis LAI a contrario et 61 let. a LPGA).</w:t>
      </w:r>
    </w:p>
    <w:p>
      <w:r>
        <w:t>***</w:t>
      </w:r>
    </w:p>
    <w:p>
      <w:r>
        <w:t>A/95/2020 - 14/14 -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