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ATAS/1085/2014 vom 15. Oktober 2014</w:t>
      </w:r>
    </w:p>
    <w:p>
      <w:r>
        <w:t>GE Cour de justice, 2014-10-15, FR</w:t>
      </w:r>
    </w:p>
    <w:p>
      <w:r>
        <w:rPr>
          <w:b/>
        </w:rPr>
        <w:t xml:space="preserve">Quelle: </w:t>
      </w:r>
      <w:r>
        <w:t>https://mcp.opencaselaw.ch/entscheid/ge_gerichte_ATAS_1085_2014</w:t>
      </w:r>
    </w:p>
    <w:p>
      <w:r>
        <w:t>FR: GE_GERICHTE ATAS/1085/2014 du 15 octobre 2014</w:t>
      </w:r>
    </w:p>
    <w:p>
      <w:r>
        <w:t>IT: GE_GERICHTE ATAS/1085/2014 del 15 ottobre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 et délai prescrits par la loi, le recours est recevable (art. 56 et 60 LPGA ; art. 89B de la loi sur la procédure administrative, du 12 septembre 1985 – LPA E 5 10).</w:t>
      </w:r>
    </w:p>
    <w:p>
      <w:r>
        <w:rPr>
          <w:b/>
        </w:rPr>
        <w:t>E. 3</w:t>
      </w:r>
    </w:p>
    <w:p>
      <w:r>
        <w:t>Le litige porte sur le droit du recourant aux prestations de l’assurance-accidents, singulièrement sur la question de savoir si les atteintes dont il souffre remplissent les conditions d’une lésion assimilée à un accident ou d’une maladie professionnelle.</w:t>
      </w:r>
    </w:p>
    <w:p>
      <w:r>
        <w:rPr>
          <w:b/>
        </w:rPr>
        <w:t>E. 4</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w:t>
      </w:r>
    </w:p>
    <w:p>
      <w:r>
        <w:t>A/320/2014 - 8/18 -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233 consid. 1, 121 V 38 consid. 1a ainsi que les références). c) Le critère du facteur extérieur extraordinaire peut résulter d'un mouvement non coordonné, à savoir lorsque le déroulement habituel et normal d’un mouvement corporel est interrompu par un empêchement non programmé, lié à l’environnement extérieur, tel le fait de glisser, de trébucher, de se heurter à un objet ou d’éviter une chute. Pour de tels mouvements,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w:t>
      </w:r>
    </w:p>
    <w:p>
      <w:r>
        <w:rPr>
          <w:b/>
        </w:rPr>
        <w:t>E. 5</w:t>
      </w:r>
    </w:p>
    <w:p>
      <w:r>
        <w:t>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ATF non publié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w:t>
      </w:r>
    </w:p>
    <w:p>
      <w:r>
        <w:t>A/320/2014 - 9/18 -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(ATF non publié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w:t>
      </w:r>
    </w:p>
    <w:p>
      <w:r>
        <w:t>A/320/2014 - 10/18 - 4.2.2; ATFA non publié U 315/03 du 23 novembre 2004, consid. 2.2). En outre, la cause extérieure peut être discrète et courante (ATF 116 V 145 consid. 2c ; ATFA non publié U 362/06 du 4 juillet 2007, consid. 3). En cas d’efforts répétés au cours de travaux effectués au moyen d’un marteau ou d’une perceuse, l’existence d’une cause extérieure fait défaut (ATF 129 V 466 consid. 4.1 et les références citées). En revanche, l’existence d’une cause extérieure a été admise dans le contexte de l’utilisation d’un marteau-piqueur dont la mèche, en se bloquant, avait provoqué un mouvement non programmé et non maîtrisé présentant une certaine intensité (torsion violente et forcée du membre supérieur droit ; arrêt du Tribunal fédéral 8C_36/2013 du 14 janvier 2014 consid. 5). c) À l’instar des accidents, les lésions assimilées à ceux-ci supposent que l’atteinte dommageable portée au corps humain soit soudaine. La notion de soudaineté n’implique pas nécessairement que l’atteinte ne dure qu’un instant. En revanche, il est nécessaire que celle-ci soit apparue de manière soudaine et ne se soit produite qu’une fois (Alexandra RUMO-JUNGO, André Pierre HOLZER, Bundesgesetz über die Unfallversicherung, 4ème éd. 2011 in MURER/STAUFFER (éd.), Rechtsprechung des Bundesgerichts zum Sozialversicherungsrecht ad art. 6 LAA, p. 51 et les références citées). En cas d’efforts répétés au travail, par exemple lors de l’utilisation d’un marteau ou d’une perceuse, de même qu’en cas d’efforts répétés du poignet ou du bras, la soudaineté fait précisément défaut (ATFA 1947 p. 9 consid. b, cité in Alexandra RUMO-JUNGO, André Pierre HOLZER, op. cit., p. 52).</w:t>
      </w:r>
    </w:p>
    <w:p>
      <w:r>
        <w:rPr>
          <w:b/>
        </w:rPr>
        <w:t>E. 6</w:t>
      </w:r>
    </w:p>
    <w:p>
      <w:r>
        <w:t>a/aa)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Ces substances et travaux, ainsi que les affections dues à ceux-ci sont énumérés de manière exhaustive à l'annexe 1 de l'OLAA (RAMA 1988 no U 61 p. 449 consid. 1a, RAMA 1999 no U 326 p. 108 consid. 2, voir également ATF non publié 8C_165/2007 du 5 mars 2008 consid. 3.1 ; ATFA non publié U 381/01 du 20 mars 2003, consid. 3.1, ATFA non publié U 290/99 du 2 mai 2000 consid. 2a). Selon la jurisprudence, l'exigence d'une relation prépondérante est réalisée lorsque la maladie est due pour plus de 50 % à l'action d'une substance nocive mentionnée dans la première liste ou lorsque cette maladie figure parmi les affections énumérées dans la seconde liste et qu’elle a été causée à raison de plus de 50 % par les travaux indiqués en relation avec ladite affection (ATF 119 V 200 consid. 2a et</w:t>
      </w:r>
    </w:p>
    <w:p>
      <w:r>
        <w:t>A/320/2014 - 11/18 - la référence; RAMA 2000 n° U 398 p. 333 et ss. consid. 3; ATFA non publié du 22 février 2006, U 48/05). a/bb) Selon le chiffre 2 de l’annexe 1 de l’OLAA, sont notamment réputées affections dues à certains travaux au sens de l’art. 9 al. 1 LAA, les maladies dues aux vibrations (seulement les actions démontrables au point de vue radiologique sur les os et les articulations ainsi que les actions sur la circulation périphérique). b) Aux termes de l'art. 9 al. 2 LAA, sont aussi réputées maladies professionnelles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Selon la jurisprudence, l'exigence d'une relation exclusive ou nettement prépondérante prévue à l'art. 9 al. 2 LAA est réalisée lorsque la maladie professionnelle résulte à 75 % au moins de l'activité professionnelle (ATF 126 V 186 consid. 2b, 119 V 201 consid. 2b). En d'autres termes, il faut que les cas d'atteintes pour un groupe professionnel déterminé soient quatre fois plus nombreux que ceux enregistrés dans la population en général pour que l'on puisse considérer que la maladie a été causée de manière nettement prépondérante par l'exercice de l'activité professionnelle (ATF 116 V 143 consid. 5c; RAMA 2000 n° U 408 p. 407; arrêt du Tribunal fédéral des assurances U 195/05 du 31 janvier 2006). Si les données statistiques font défaut, il faut utiliser les données cliniques (cf. arrêt du Tribunal fédéral des assurances U 235/99 du 22 septembre 2000). Dans un arrêt de principe,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Il a retenu qu'en médecine, la relation de cause à effet ne peut que rarement être tirée ou déduite à la manière d'une science mathématique. Compte tenu du caractère empirique de la médecine, lorsqu'une preuve directe ne peut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(ATF 126 V 183 ;</w:t>
      </w:r>
    </w:p>
    <w:p>
      <w:r>
        <w:t>A/320/2014 - 12/18 - Arrêt du Tribunal fédéral des assurances U 408 du 22 septembre 2000 in RAMA 2000 p. 407). En d'autres termes,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arrêt du Tribunal fédéral des assurances U 381/2001 du 20 mars 2003). c) La maladie professionnelle est assimilée à un accident professionnel dès le jour où elle s'est déclarée, soit dès que la personne atteinte doit se soumettre pour la première fois à un traitement médical ou est incapable de travailler (cf. art. 9 al. 3 LAA).</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w:t>
      </w:r>
    </w:p>
    <w:p>
      <w:r>
        <w:t>Le juge peut accorder pleine valeur probante aux rapports et expertises établis par les médecins des assureurs aussi longtemps que ceux-ci aboutissent à des résultats</w:t>
      </w:r>
    </w:p>
    <w:p>
      <w:r>
        <w:t>A/320/2014 - 13/18 -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I 592/99 du 13 mars 2000).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du Tribunal fédéral 8C_456/2010 du 19 avril 2011 consid. 3).</w:t>
      </w:r>
    </w:p>
    <w:p>
      <w:r>
        <w:rPr>
          <w:b/>
        </w:rPr>
        <w:t>E. 8</w:t>
      </w:r>
    </w:p>
    <w:p>
      <w:r>
        <w:t>a) Le juge ne doit considérer un fait comme prouvé que lorsqu’il est convaincu de sa réalité.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retenir ceux qui lui paraissent les plus probables (ATF 126 V 360 consid. 5b; 125 V 195 consid. 2).</w:t>
      </w:r>
    </w:p>
    <w:p>
      <w:r>
        <w:t>b) Les explications d'un assuré sur le déroulement d'un fait allégué sont au bénéfice d'une présomption de vraisemblance (ATFA non publié U 96/05 du 20 mai 2006, consid. 3.1; ATF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w:t>
      </w:r>
    </w:p>
    <w:p>
      <w:r>
        <w:t>A/320/2014 - 14/18 -</w:t>
      </w:r>
    </w:p>
    <w:p>
      <w:r>
        <w:rPr>
          <w:b/>
        </w:rPr>
        <w:t>E. 9</w:t>
      </w:r>
    </w:p>
    <w:p>
      <w:r>
        <w:t>a) En l’espèce, il ressort de l’audition du recourant en date du 21 août 2013 que celui-ci n’a pas été victime d’un fait particulier telle une chute ou une glissade, que ce soit lors des travaux exécutés fin mai 2010 ou lors du forage du 4 juin 2010. En conséquence, l’existence d’un facteur extérieur extraordinaire et, par là même, la survenance d’un accident doit être écartée. Au demeurant, le recourant ne le conteste pas. b) Le recourant soutient par ailleurs avoir été victime d’une lésion assimilée à un accident, plus précisément d’une déchirure du tendon au sens de l’art. 9 al. 2 let. f OLAA, ajoutant que les lésions énumérées à l’art. 9 al. 2 OLAA seront assimilées à un accident aussi longtemps que l’origine maladive ou dégénérative, à l’exclusion d’une origine accidentelle, ne peut être tenue pour manifeste. De son point de vue, l’existence d’une cause extérieure soudaine doit être admise dans la mesure où les événements de mai et juin 2010 ont été particulièrement exigeants au niveau physique et qu’il a ressenti une très vive douleur l’ayant contraint à interrompre son travail lors d’une des rotations des poignées de la machine qu’il maniait le 4 juin 2010. Ces arguments ne sauraient être suivis pour plusieurs raisons. L’audition du recourant en date du 21 juin 2013 a révélé que les travaux effectués fin mai avaient généré une augmentation progressive des douleurs. Quant à ceux réalisés le 4 juin 2010, ils ont été interrompus alors que l’épaule le faisait déjà souffrir. Compte tenu de la primauté attachée aux premières déclarations de l’intéressé, on ne saurait se fonder sur la version ultérieure des faits qui occulte à la fois l’augmentation progressive des douleurs et le caractère préexistant de celles-ci au commencement des travaux effectués le 4 juin 2010. Le caractère soudain de l’atteinte sera ainsi dénié, ce à plus forte raison qu’il ressort de la casuistique citée plus haut que des efforts répétés fournis en maniant un marteau ou une perceuse ne satisfont ni au critère de la soudaineté ni à celui de la cause extérieure (cf. consid. 5b et 5c supra). Il sied encore de relever que contrairement au cas ayant fait l’objet de l’arrêt du Tribunal fédéral 8C_36/2013 précité, les blocages de la mèche de la machine utilisée n’ont pas entrainé l’accomplissement d’un mouvement non coordonné. Le recourant fait encore valoir que la notion de lésion assimilée a pour but d’éviter, au profit de l’assuré, la distinction souvent difficile entre maladie et accident en obligeant les assureurs-accidents à assumer un risque qui, en raison de la distinction précitée, devrait en principe être couvert par l’assurance-maladie. Il ajoute qu’en l’espèce, il incombe à l’intimée de lui allouer des prestations puisqu’elle n’a pas apporté la preuve de l’origine maladie ou dégénérative des lésions considérées. Ce dernier argument tombe cependant à faux. En effet, le recourant omet de préciser que cette preuve doit être apportée sous réserve qu’il existe une cause extérieure – au sens défini plus haut – soudaine qui ait au moins déclenché les symptômes dont il souffre (cf. Jean-Michel DUC, La jurisprudence du TFA concernant les lésions tendineuses in RSAS 50/2006, p. 529, 534 et les références citées).</w:t>
      </w:r>
    </w:p>
    <w:p>
      <w:r>
        <w:t>A/320/2014 - 15/18 - c/aa) Le recourant soutient en substance qu’on serait en présence d’une tendovaginite au sens de la liste des substances nocives et des affections dues à certains travaux (cf. OLAA, annexe 1, ch. 2) et qu’en tant que le Dr D______ mentionne, dans son appréciation médicale du 17 décembre 2013, qu’il n’y a pas de lésion radiologique sur un plan osseux, articulaire ou circulatoire, il serait contredit pas son confrère, le Dr G______ qui, dans son certificat du 5 septembre 2011, indique clairement qu’une arthroscopie de l’épaule gauche a dû être effectuée le 18 mars 2011 en raison d’un conflit sous-acromial avec l’épaule. La chambre de céans relève que le rapport du Dr D______ du 17 décembre 2013 intègre un résumé de tous les rapports médicaux antérieurs, de sorte qu’il a été établi en pleine connaissance du dossier. Les conclusions du Dr D______, selon lesquelles le recourant ne présente ni lésion au sens de l’art. 9 al. 1 LAA, ni maladie professionnelle selon l’art. 9 al. 2 LAA sont claires, motivées et dépourvues de contradictions. Au vu de ce qui précède, ce rapport doit se voir reconnaître pleine valeur probante au sens de la jurisprudence. Le fait que le médecin-conseil n’a pas examiné le recourant n’a pas d’incidence sur sa valeur probante, puisqu’il se fonde sur un nombre suffisant d’appréciations médicales consécutives à un tel examen, émanant notamment des médecins du recourant (arrêt du Tribunal fédéral des assurances U 492/00 du 31 juillet 2001, in RAMA 2001 n° U 438 p. 345 consid. 3d). Pour le surplus, les objections du recourant n’emportent pas la conviction. Premièrement, il n’appartient pas à celui-ci de se substituer à l’avis des médecins en se hasardant à qualifier lui-même ses troubles de « tendovaginites ». Deuxièmement, les constatations du Dr D______ se rapportent, à l’évidence, à l’examen de la prise en charge d’un autre type d’affection, soit les maladies dues aux vibrations (cf. OLAA, annexe 1, ch. 2 let. a). Troisièmement, le Dr D______ a dûment pris en compte le conflit sous-acromial qu’il qualifie de dégénératif dans son appréciation du 17 décembre 2013, ajoutant que même si un engin de perçage a été utilisé, seules les actions démontrables au point de vue radiologique sur les os et les articulations ou sur la circulation périphérique doivent être prises en charge. Or, ce dernier point a été tranché par la négative par ce même médecin faute précisément de lésion sur un plan osseux, articulaire ou circulatoire dans le cas d’espèce. Par ailleurs, même si on qualifiait le conflit sous-acromial de lésion sur un plan osseux, articulaire ou circulatoire comme le soutient le recourant sans étayer ses thèses d’un point de vue médical, il n’en reste pas moins que le certificat du Dr G______ ne se prononce pas sur l’origine d’une hypothétique lésion de cette nature de sorte qu’il ne remet pas en question les conclusions du Dr D______ en ce qui concerne, d’une part, la nature dégénérative de ce conflit sous-acromial et, d’autre part, l’absence d’affection au sens de la liste des substances nocives et des affections dues à certains travaux (OLAA, annexe 1, ch. 2 let a).</w:t>
      </w:r>
    </w:p>
    <w:p>
      <w:r>
        <w:t>A/320/2014 - 16/18 - c/bb) Le recourant soutient encore que si une maladie professionnelle figurant dans ladite liste n’était pas retenue, on serait en présence d’une autre maladie au sens de l’art. 9 al. 2 LAA, causée par l’exercice d’une activité professionnelle. Il ajoute qu’il est inexact de prétendre que l’arthrose diagnostiquée le 17 septembre 2010 par le Dr E______ serait la cause exclusive de la lésion du tendon du long chef du biceps. Cette dernière assertion est clairement erronée en ce qu’elle méconnait la portée de l’appréciation du Dr D______. Ce médecin indique en effet que la lésion du biceps constatée survient dans la population générale après 50 ans, que le rôle favorisant de l’arthrose acromio-claviculaire est important dans cette rupture et que le rôle nettement prépondérant de l’activité professionnelle n’est pas retrouvé ici. En d’autre termes, le Dr D______ n’exclut pas que l’activité professionnelle du recourant ait pu jouer un rôle dans la survenance des troubles constatés. Il en rejette toutefois le rôle nettement prépondérant. Par certificat du 11 juillet 2013, le Dr C______ indique pour sa part que l’affection du recourant « est en rapport avec son activité professionnelle antérieure dans le bâtiment, raison pour laquelle nous la qualifions de maladie professionnelle ». Cette appréciation n’est toutefois pas de nature à mettre en doute celle du Dr D______. En effet, elle ne se prononce pas sur le rôle prépondérant joué par l’activité professionnelle et ne mentionne pas d’autres facteurs – ne serait-ce que pour les écarter – qui auraient éventuellement joué un rôle dans la survenance de la lésion constatée. On relèvera également que le recourant n’allègue pas à juste titre que sa profession implique de travailler continuellement le bras droit plié et le coude à hauteur de l’épaule droite ou de creuser à 45 degrés au ras du sol à l’aide d’une carotteuse. Au contraire, il affirme que les deux forages qu’il a effectués fin mai 2010 ainsi que le 4 juin 2010 sortaient de ses habitudes professionnelles usuelles (cf. réplique, p. 3). Or, selon la jurisprudence, l’assuré doit être exposé pendant une certaine durée à des risques relevant typiquement de sa profession et du risque inhérent à celle-ci. En revanche, un événement unique par lequel l’atteinte à la santé est causée ne suffit pas (ATF 126 V 183 consid. 2b). Un simple rapport de simultanéité avec l'activité professionnelle non plus (ATF 116 V 136 consid. 5d). Compte tenu de la brièveté et du caractère atypique des tâches accomplies fin mai et début juin 2010, il y a d’autant moins de place ici pour des investigations médicales complémentaires qu’il ressort du libellé même du certificat du Dr C______ que ce médecin a étendu la notion de maladie professionnelle à ce qu’elle n’est pas d’un point de vue légal. Pour le surplus, il n’existe pas de base épidémiologique qui établit que les lésions du biceps seraient quatre fois plus fréquentes chez les ouvriers du bâtiment que pour l’ensemble de la population. En conséquence et dès lors que, selon l’expérience médicale, la preuve d’une causalité ne peut être rapportée de manière</w:t>
      </w:r>
    </w:p>
    <w:p>
      <w:r>
        <w:t>A/320/2014 - 17/18 - générale, la jurisprudence exclut la possibilité d'apporter la preuve, dans un cas concret, de la causalité qualifiée au sens de l’art. 9 al. 2 LAA (ATF 126 V 183 consid. 4c précité). Ainsi, la lésion du biceps droit dont a souffert le recourant n’apparaît pas comme étant due exclusivement ou de manière nettement prépondérante à l’activité professionnelle exercée. L’intimée était par conséquent en droit de refuser toute prestation.</w:t>
      </w:r>
    </w:p>
    <w:p>
      <w:r>
        <w:rPr>
          <w:b/>
        </w:rPr>
        <w:t>E. 10</w:t>
      </w:r>
    </w:p>
    <w:p>
      <w:r>
        <w:t>Le recours se révèle ainsi mal fondé.</w:t>
      </w:r>
    </w:p>
    <w:p>
      <w:r>
        <w:rPr>
          <w:b/>
        </w:rPr>
        <w:t>E. 11</w:t>
      </w:r>
    </w:p>
    <w:p>
      <w:r>
        <w:t>La procédure est gratuite (art. 61 let. a LPGA).</w:t>
      </w:r>
    </w:p>
    <w:p>
      <w:r>
        <w:t>A/320/2014 - 18/18 -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