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ATAS/1085/2013 vom 6. November 2013</w:t>
      </w:r>
    </w:p>
    <w:p>
      <w:r>
        <w:t>GE Cour de justice, 2013-11-06, FR</w:t>
      </w:r>
    </w:p>
    <w:p>
      <w:r>
        <w:rPr>
          <w:b/>
        </w:rPr>
        <w:t xml:space="preserve">Quelle: </w:t>
      </w:r>
      <w:r>
        <w:t>https://mcp.opencaselaw.ch/entscheid/ge_gerichte_ATAS_1085_2013</w:t>
      </w:r>
    </w:p>
    <w:p>
      <w:r>
        <w:t>FR: GE_GERICHTE ATAS/1085/2013 du 6 novembre 2013</w:t>
      </w:r>
    </w:p>
    <w:p>
      <w:r>
        <w:t>IT: GE_GERICHTE ATAS/1085/2013 del 6 novembre 2013</w:t>
      </w:r>
    </w:p>
    <w:p>
      <w:pPr>
        <w:pStyle w:val="Heading2"/>
      </w:pPr>
      <w:r>
        <w:t>Erwägungen</w:t>
      </w:r>
    </w:p>
    <w:p>
      <w:r>
        <w:rPr>
          <w:b/>
        </w:rPr>
        <w:t>E. 1</w:t>
      </w:r>
    </w:p>
    <w:p>
      <w:r>
        <w:t>Conformément à l'art. 134 al. 1 let. a ch. 2 de la loi sur l'organisation judiciaire, du 9 octobre 2009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depuis le 1er janvier 2008 (5ème révision) jusqu'au 31 décembre 2011 et après le 1er janvier 2012 (révision 6a), en fonction des modifications de la LAI, dans la mesure de leur pertinence (ATF 130 V 445 et les références ; voir également ATF 130 V 329). Il convient de préciser que ces novelles introduites par la 5ème révision et la révision 6a de la LAI n'ont pas amené de modifications substantielles en matière d'évaluation du degré d'invalidité (ATFA non publié I 249/05 du 11 juillet 2006, consid. 2.1 et Message concernant la modification de la loi fédérale sur l'assurance- 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t>A/1731/2013 - 8/13 -</w:t>
      </w:r>
    </w:p>
    <w:p>
      <w:r>
        <w:rPr>
          <w:b/>
        </w:rPr>
        <w:t>E. 4</w:t>
      </w:r>
    </w:p>
    <w:p>
      <w:r>
        <w:t>Interjeté dans les forme et le délai prescrits, le recours est recevable (art. 56 à 61 et 38 LPGA).</w:t>
      </w:r>
    </w:p>
    <w:p>
      <w:r>
        <w:rPr>
          <w:b/>
        </w:rPr>
        <w:t>E. 5</w:t>
      </w:r>
    </w:p>
    <w:p>
      <w:r>
        <w:t>Le litige porte sur la question de savoir si l’état de santé du recourant s’est modifié depuis le 7 décembre 2006 au point de lui ouvrir droit à des prestations de l’assurance-invalidité.</w:t>
      </w:r>
    </w:p>
    <w:p>
      <w:r>
        <w:rPr>
          <w:b/>
        </w:rPr>
        <w:t>E. 6</w:t>
      </w:r>
    </w:p>
    <w:p>
      <w:r>
        <w:t>A titre liminaire, il convient cependant de déterminer si la décision litigieuse constitue une décision de non-entrée en matière malgré la terminologie employée par l’intimé ou s’il s’agit au contraire d’une décision sur le fond, rejetant la demande de prestations. a) Lorsqu’une demande de révision est déposée, celle-ci doit établir de façon plausible que l’invalidité, l’impotence ou l’étendue du besoin de soins découlant de l’invalidité de l’assuré s’est modifiée de manière à influencer ses droits (art.87 al.2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l’article 87 al. 3 RAI et un examen des conditions de la révision au sens de</w:t>
      </w:r>
    </w:p>
    <w:p>
      <w:r>
        <w:t>A/1731/2013 - 9/13 -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I 781/04 du 17 février 2005 consid.3).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I 47/06 du 25 août 2006 consid. 3.2), lorsqu’elle a sollicité l’avis de son médecin-conseil sans autres investigations (ATFA non publié I 522/03 du 4 mai 2004 consid. 3.2) ou encore lorsqu’elle a demandé directement au médecin traitant un rapport médical établi sur un formulaire (ATFA non publié I 781/04 du 17 février 2005 consid. 3). A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Finalement, il faut garder à l’esprit que la procédure sommaire prévue par l’article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w:t>
      </w:r>
    </w:p>
    <w:p>
      <w:r>
        <w:t>A/1731/2013 - 10/13 -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w:t>
      </w:r>
    </w:p>
    <w:p>
      <w:r>
        <w:rPr>
          <w:b/>
        </w:rPr>
        <w:t>E. 7</w:t>
      </w:r>
    </w:p>
    <w:p>
      <w:r>
        <w:t>En l’espèce, le recourant a déposé une nouvelle demande de prestations le 22 août 2012, invoquant des douleurs liées à sa prothèse et des allergies. Par la suite il a communiqué à l’intimé un rapport daté du 5 octobre 2012 établi par la Dresse P_________ faisant état de problèmes de santé liés au frottement de sa prothèse sur le moignon et de la nécessité de réduire son taux d’activité à 50%. L’intimé a requis l’avis du SMR, lequel a considéré, le 8 décembre 2012, que le recourant ne rendait pas plausible une aggravation durable de son état de santé. Le 7 janvier 2013, l’intimé a adressé au recourant un projet de décision de rejet de demande de prestation, justifiant ce rejet par le fait qu’aucune aggravation de son état de santé n’avait été rendu plausible depuis sa dernière décision. il ne pouvait dès lors pas entrer en matière sur la nouvelle demande du 22 août 2012. Suite à la contestation du projet de décision par le recourant en date du 21 janvier 2013, l’intimé s’est une nouvelle fois adressé au SMR. Ce dernier a rendu un avis le 1er mai 2013 dans lequel il a considéré que l’instauration de longues périodes de repos sans prothèse n’était pas l’unique solution pour soigner l’assuré, celui-ci pouvant au besoin travailler et se rendre au travail sans sa prothèse dans un poste sédentaire. Aucune aggravation durable de l’état de santé ayant un effet sur la capacité de travail n’avait en outre été rendue plausible. Le 6 mai 2013, se fondant sur cet avis, l’intimé a rejeté la demande de prestation du recourant par décision du 22 août 2012.</w:t>
      </w:r>
    </w:p>
    <w:p>
      <w:r>
        <w:t>A/1731/2013 - 11/13 - Au vu de ce qui précède, force est de constater que, malgré la formulation erronée de la décision du 6 mai 2013 qui rejette la demande de prestation du recourant, celle-ci est en réalité une décision de refus d’entrer en matière. En effet, en saisissant le SMR, l’OAI a procédé à des investigations non pas approfondies mais sommaires, portant sur le caractère plausible de l’aggravation de la santé. Les problèmes de santé exposés par le rapport du 5 octobre 2012 de la Dresse P_________ n’ont pas été traités sur le fond. Par ailleurs, tant l’intimé que le SMR ont systématiquement indiqué qu’aucune aggravation de l’état de santé du recourant n’avait été rendue plausible, ce qui constitue la question centrale à laquelle l’intimé devait répondre afin de décider soit d’entrer en matière puis d’examiner le fond du litige, soit de refuser d’entrer en matière. Par conséquent, en application de la jurisprudence, et notamment de l’ATFA non publié du I 47/06 du 25 août 2006, il y a lieu de qualifier la décision du 6 mai 2013 de décision de non-entrée en matière, malgré la terminologie employée.</w:t>
      </w:r>
    </w:p>
    <w:p>
      <w:r>
        <w:rPr>
          <w:b/>
        </w:rPr>
        <w:t>E. 8</w:t>
      </w:r>
    </w:p>
    <w:p>
      <w:r>
        <w:t>Reste à déterminer si le recourant – au moment de la décision litigieuse – avait rendu plausible une modification de son état de santé et partant, si l’intimé se devait d’entrer en matière sur la nouvelle demande.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p.396 ch. 5.1 et la référence sous note no 27).</w:t>
      </w:r>
    </w:p>
    <w:p>
      <w:r>
        <w:rPr>
          <w:b/>
        </w:rPr>
        <w:t>E. 9</w:t>
      </w:r>
    </w:p>
    <w:p>
      <w:r>
        <w:t>En l’espèce, la Cour de céans constate que le recourant a transmis à l’intimé un rapport daté du 5 octobre 2012 de la Dresse P_________ afin de documenter les problèmes occasionnés par le frottement de sa prothèse sur son moignon (abrasion importante de la peau, ulcère sous-cutané et risques infectieux), avant qu’elle ne rende la décision querellée. Ce rapport, complété par celui du 27 mai 2013, décrit précisément les conséquences des frottements de la prothèse sur le moignon du recourant. Il est également précisé que la prothèse ne semble plus pouvoir être adaptée par le prothésiste pour, à tout le moins, améliorer la situation. Force est également de constater que si la Dresse P_________ critique la précédente décision de l’intimé, elle le fait à la lumière d’éléments nouveaux. En réalité, elle fait état de l’existence de nouveaux problèmes de santé qui réduiraient la capacité de travail du recourant à 50%, en lieu et place</w:t>
      </w:r>
    </w:p>
    <w:p>
      <w:r>
        <w:t>A/1731/2013 - 12/13 - des 80% retenu jusqu’à présent par l’intimé. Certes, des problématiques de frottement de la prothèse sur le moignon sont évoquées dans le dossier. Toutefois, il convient de considérer comme plausible l’aggravation de l’état de santé du recourant dans la mesure où l’apparition d’ulcères sous-cutanés et de plaies est relevée pour la première fois. En outre, il ressort du dossier que la taille réduite du moignon du recourant a nécessité de nombreuses adaptations et tentatives infructueuses d’amélioration de la fixation de la prothèse au fil des années. Désormais, aux dires de la Dresse P_________, qui s’est entretenue avec le prothésiste, aucune amélioration de la fixation de la prothèse ne peut plus être apportée, ce qui permet de considérer comme plausible une aggravation durable de l’état de santé du recourant. Par conséquent, c’est à tort que l’intimé a considéré que le recourant n’avait pas rendu plausible une aggravation de son état de santé.</w:t>
      </w:r>
    </w:p>
    <w:p>
      <w:r>
        <w:rPr>
          <w:b/>
        </w:rPr>
        <w:t>E. 10</w:t>
      </w:r>
    </w:p>
    <w:p>
      <w:r>
        <w:t>Au vu de ce qui précède, le recours est partiellement admis. Il convient de renvoyer le dossier à l’intimé afin que celui-ci entre en matière sur le fond de la demande de prestation du 22 août 2012, dans les meilleurs délais.</w:t>
      </w:r>
    </w:p>
    <w:p>
      <w:r>
        <w:rPr>
          <w:b/>
        </w:rPr>
        <w:t>E. 11</w:t>
      </w:r>
    </w:p>
    <w:p>
      <w:r>
        <w:t>Un émolument de 200 fr. est mis à la charge de l'intimé, conformément à l'art. 69al.1 bis LAI. Pour le surplus, le recourant, représenté par un mandataire, a droit à une indemnité à titre de participation à ses frais et dépens, que la Cour de céans fixe en l'espèce à 1'000 fr. (art. 61 let. g LPGA ; art. 89H LPA ; art. 6 du Règlement sur les frais, émoluments et indemnités en procédure administrative du 30 juillet 1986 – RFPA; RS E 5 10.03).</w:t>
      </w:r>
    </w:p>
    <w:p>
      <w:r>
        <w:t>A/1731/2013 - 13/13 -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