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ATAS/1084/2017 vom 23. November 2017</w:t>
      </w:r>
    </w:p>
    <w:p>
      <w:r>
        <w:t>GE Cour de justice, 2017-11-23, FR</w:t>
      </w:r>
    </w:p>
    <w:p>
      <w:r>
        <w:rPr>
          <w:b/>
        </w:rPr>
        <w:t xml:space="preserve">Quelle: </w:t>
      </w:r>
      <w:r>
        <w:t>https://mcp.opencaselaw.ch/entscheid/ge_gerichte_ATAS_1084_2017</w:t>
      </w:r>
    </w:p>
    <w:p>
      <w:r>
        <w:t>FR: GE_GERICHTE ATAS/1084/2017 du 23 novembre 2017</w:t>
      </w:r>
    </w:p>
    <w:p>
      <w:r>
        <w:t>IT: GE_GERICHTE ATAS/1084/2017 del 23 novembre 2017</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dans les délai et forme prescrits par la loi, le recours est recevable, compte tenu de la suspension des délais entre le 15 juillet et le 15 août inclusivement (art. 38 al. 4 let. b et 56 ss LPGA).</w:t>
      </w:r>
    </w:p>
    <w:p>
      <w:r>
        <w:rPr>
          <w:b/>
        </w:rPr>
        <w:t>E. 3</w:t>
      </w:r>
    </w:p>
    <w:p>
      <w:r>
        <w:t>Est litigieuse en l’occurrence la question de savoir si l'état de santé de la recourante s'est aggravé depuis la dernière décision du 23 octobre 2013 au point de lui ouvrir le droit à une rente d’invalidité.</w:t>
      </w:r>
    </w:p>
    <w:p>
      <w:r>
        <w:rPr>
          <w:b/>
        </w:rPr>
        <w:t>E. 4</w:t>
      </w:r>
    </w:p>
    <w:p>
      <w:r>
        <w:t>L’art. 17 al. 1er LPGA dispose que si le taux d’invalidité du bénéficiaire de la rente subit une modification notable, la rente est, d’office ou sur demande, révisée pour l’avenir, à savoir augmentée ou réduite en conséquence, ou encore supprimée.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w:t>
      </w:r>
    </w:p>
    <w:p>
      <w:r>
        <w:rPr>
          <w:b/>
        </w:rPr>
        <w:t>E. 5</w:t>
      </w:r>
    </w:p>
    <w:p>
      <w:r>
        <w:t>Est réputée invalidité, l'incapacité de gain totale ou partielle présumée permanente ou de longue durée, résultant d'une infirmité congénitale, d'une maladie ou d'un</w:t>
      </w:r>
    </w:p>
    <w:p>
      <w:r>
        <w:t>A/3617/2017 - 10/17 -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w:t>
      </w:r>
    </w:p>
    <w:p>
      <w:r>
        <w:rPr>
          <w:b/>
        </w:rPr>
        <w:t>E. 6</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w:t>
      </w:r>
    </w:p>
    <w:p>
      <w:r>
        <w:rPr>
          <w:b/>
        </w:rPr>
        <w:t>E. 7</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8</w:t>
      </w:r>
    </w:p>
    <w:p>
      <w:r>
        <w:t>En vertu de l’art. 29 al. 1 LAI, le droit à la rente prend naissance au plus tôt à l’échéance d’une période de six mois à compter de la date à laquelle l’assuré a fait valoir son droit aux prestations. Par ailleurs, l'assuré doit avoir présenté une incapacité de travail d'au moins 40% en moyenne durant une année sans interruption notable.</w:t>
      </w:r>
    </w:p>
    <w:p>
      <w:r>
        <w:rPr>
          <w:b/>
        </w:rPr>
        <w:t>E. 9</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w:t>
      </w:r>
    </w:p>
    <w:p>
      <w:r>
        <w:t>A/3617/2017 - 11/17 -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11</w:t>
      </w:r>
    </w:p>
    <w:p>
      <w:r>
        <w:t>a. En l’occurrence, l’intimé admet une aggravation de l'état de santé de la recourante. Sur la base du rapport d’examen du Dr J______ du SMR, il estime que la capacité de travail est de 75 % dans une activité adaptée aux limitations fonctionnelles. Celles-ci sont les suivantes : pas de travail prolongé la tête en extension et les bras au-dessus de la tête, ni de rotation rapide; pas de travail prolongé ni de dactylographie au-delà de trente minutes ni travail statique devant un écran d’ordinateur au-delà de trente minutes; pas de travail prolongé au-dessus de l’horizontale, ni de mouvements répétés d’abduction/adduction du bras; pas de port de charges répété au-delà de 5 kg et de soulèvement de charges avec le bras droit au-delà de 2-3 kg. Le Dr J______ retient les diagnostics, avec répercussion sur la capacité de travail, de cervicalgies chroniques, non déficitaires, dans un contexte de protrusion discale C5-C6 avec un remaniement de type MODIC I.M54.2 et de douleurs chroniques du membre supérieur droit, dans le cadre d’une omarthrose</w:t>
      </w:r>
    </w:p>
    <w:p>
      <w:r>
        <w:t>A/3617/2017 - 12/17 - débutante. Les lombalgies communes sont sans répercussion sur la capacité de travail, selon ce médecin. b. Ce rapport a été rédigé en connaissance du dossier médical intégral, repose sur un examen clinique complet, prend en considération les plaintes de la recourante et contient des conclusions motivées et cohérentes. Il y a dès lors lieu de lui octroyer en principe une pleine valeur probante. c. Toutefois, la recourante met en cause la valeur probante de ce rapport. Ce faisant, elle se fonde en premier lieu sur le rapport du Dr L______ du 30 mai 2017. Cependant, ce médecin admet les mêmes limitations fonctionnelles que le Dr J______. Il ne se prononce par ailleurs pas clairement sur la capacité de travail de la recourante, se contentant de mentionner que son travail actuel est adapté à ses capacités physiques grâce à un environnement social favorable et à un temps partiel à 60 %. En ce qui concerne ses considérations concernant la question de savoir si un travail dans le marketing du luxe est adapté, elles sortent du domaine médical. Il appartient uniquement au médecin de décrire les activités que l'on peut encore raisonnablement attendre de l'assuré compte tenu de ses atteintes à la santé (influence des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(ATF 107 V 17 consid. 2b p. 20; SVR 2006 IV n° 10 p. 39). Il convient aussi de relever que le Dr L______ n'est pas un spécialiste en rhumatologie, contrairement au Dr J______. Enfin, son rapport ne met pas non plus en évidence des éléments médicaux qui auraient été ignorés par le Dr J______. Partant, son rapport n’est pas propre à mettre en doute les conclusions de celui-ci. La recourante fait également valoir que les rapports du Dr I______ contredisent les conclusions du Dr J______, en ce que le premier classe les diagnostics de lombalgies de caractère mécanique et de discopathie L4-L5 légèrement protrusive dans les diagnostics avec répercussion sur la capacité de travail, contrairement au médecin du SMR. Toutefois, le Dr I______ qualifie les lombalgies de globalement modérées, avec des phases d’accentuation lors du maintien des positions assise et debout statique, ainsi que lors de mouvements et d'efforts sollicitant le rachis surtout en anté-flexion et en charge. Au demeurant, il admet les mêmes limitations fonctionnelles que le médecin du SMR. Ainsi, il y a lieu de considérer que ce dernier a également tenu compte des lombalgies dans les limitations fonctionnelles, lesquelles exigent en particulier un changement de position toutes les demi-heures et un travail léger. Pour le surplus, le rapport du Dr I______ ne révèle pas d'atteintes à la santé qui auraient été ignorées par le Dr J______.</w:t>
      </w:r>
    </w:p>
    <w:p>
      <w:r>
        <w:t>A/3617/2017 - 13/17 - Cela étant, la chambre de céans est convaincue par les conclusions de ce dernier et ne juge pas nécessaire de compléter l'instruction par une expertise rhumatologique judiciaire. Il y a donc lieu de suivre les conclusions du Dr J______ et d’admettre une capacité de travail de 75% dans une activité adaptée aux limitations fonctionnelles.</w:t>
      </w:r>
    </w:p>
    <w:p>
      <w:r>
        <w:rPr>
          <w:b/>
        </w:rPr>
        <w:t>E. 12</w:t>
      </w:r>
    </w:p>
    <w:p>
      <w:r>
        <w:t>Reste à examiner la perte de gain de la recourante dans une telle activité.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w:t>
      </w:r>
    </w:p>
    <w:p>
      <w:r>
        <w:t>A/3617/2017 - 14/17 - contraignantes (cf. arrêts du Tribunal fédéral 9C_603/2015 du 25 avril 2016 consid. 8.1 et 9C_242/2012 du 13 août 2012 consid. 3).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w:t>
      </w:r>
    </w:p>
    <w:p>
      <w:r>
        <w:rPr>
          <w:b/>
        </w:rPr>
        <w:t>E. 13</w:t>
      </w:r>
    </w:p>
    <w:p>
      <w:r>
        <w:t>Concernant l’activité adaptée à ses limitations fonctionnelles, la recourante conteste pouvoir travailler dans le domaine du marketing et de la communication, dès lors que ces activités impliquent un travail devant un écran. Cela est aussi le cas pour le métier de la gestion d’entreprise et administrative qu'elle a exercé précédemment. Toutefois, le Tribunal fédéral s’est déjà prononcé sur la question de l'activité adaptée dans son arrêt du 7 novembre 2014, où il a exposé au consid. 7.3 : « Rien ne permet de dire que seule une activité dans le marketing et la communication entre en considération dans son cas. Il est établi que [la recourante] bénéficie d’expériences professionnelles variées dans le luxe (horlogerie et joaillerie) et que la double formation qu’elle a reçue recouvre plusieurs domaines très complémentaires, comme les métiers du luxe et de l’art. » Notre Haute Cour a ainsi considéré que la recourante était suffisamment formée pour exercer une activité adaptée dans le métier dans lequel elle a été reclassée. Il est à rappeler à cet égard que les limitations étaient tout à fait similaires à l'époque (travaux lourds, port de charges au-delà de 2 à 3 kg de manière répétitive avec le membre supérieur droit et travail sur un clavier d’ordinateur plus d’une heure en continu). En outre, le travail devait permettre l’alternance de la position assise et debout, selon le rapport du 9 janvier 2012 du Dr B______.</w:t>
      </w:r>
    </w:p>
    <w:p>
      <w:r>
        <w:t>A/3617/2017 - 15/17 - Selon le Dr J______, les limitations fonctionnelles interdisent aujourd'hui le travail devant un ordinateur pendant plus de trente minutes. Par ailleurs, la capacité de travail de 90% à l'époque de l'expertise du Dr B______ est aujourd'hui réduite à 75%. La limitation du travail devant un ordinateur à trente minutes n'est cependant pas incompatible avec une activité qualifiée dans le marketing, dès lors que celle-ci n'implique pas l'utilisation d'un ordinateur de façon continue et comprend une part importante de travail de recherche, de documentation, d'analyse et de travail en réunion avec les autres acteurs d'une entreprise, selon le rapport du 23 juillet 2013 de la réadaptation professionnelle de l'intimé. Il est également exposé dans ce rapport que, dans ce genre d'activité, une certaine autonomie dans l'organisation du travail est laissée au collaborateur qui travaille sur des projets (nouveaux produits et marchés, stratégie publicitaire, analyse de satisfaction client et de positionnement sur le marché par exemple). Le travail comprend ainsi aussi beaucoup de lectures, d'entretiens et de discussions. Il est à relever en outre qu'il existe pour les ordinateurs un dispositif permettant de régler la hauteur et ainsi de travailler également en position débout. Grâce à ce dispositif, il est possible d'alterner les positions assise et débout. Cas échéant, la recourante pourrait demander à l'intimé d'adapter sa place de travail par ce moyen auxiliaire. Partant, la chambre de céans estime que la recourante est toujours en mesure de travailler dans le métier dans lequel elle a été reclassée.</w:t>
      </w:r>
    </w:p>
    <w:p>
      <w:r>
        <w:rPr>
          <w:b/>
        </w:rPr>
        <w:t>E. 14</w:t>
      </w:r>
    </w:p>
    <w:p>
      <w:r>
        <w:t>Quant au calcul de la perte de gain, notre Haute Cour s’est référée, pour le salaire d’invalide, au salaire de l'Enquête suisse des salaires (ESS) 2010 concernant les femmes effectuant un travail indépendant et très qualifié (niveau de qualification 2) dans le secteur des services, toutes branches économiques confondues dans le secteur privé et secteur public (tableau T7S). La valeur médiane du salaire en 2010 est de CHF 7'273.-, soit un revenu annuel de CHF 87'276.-. Indexé à l’indice suisse des salaires (ISS) en 2015, ce salaire s’élève CHF 90'897.- (87'276 x 2686/2579. Comme les salaires bruts standardisés tiennent compte d’un horaire de travail de quarante heures, soit d’une durée hebdomadaire inférieure à la moyenne usuelle dans les entreprises en 2015 (41,7 heures), le salaire d’invalide doit être déterminé à CHF 94'760.-. Au taux de 75 %, il s’élève ainsi à CHF 71'070.-. Avec un abattement de 10 %, le salaire d’invalide s'élève à CHF 63'963.-. A cet égard, il n’y a pas lieu de prendre en compte un abattement supplémentaire en raison des limitations fonctionnelles. En effet, avec l’intimé, il y a lieu d’admettre que celles-ci sont prises en considération dans le taux de capacité de travail de 75%, dès lors qu'elles ne constituent en principe pas un handicap dans la profession de la recourante, hormis le travail prolongé de dactylographie au-delà de 30 minutes et la position statique devant un écran d’ordinateur au-delà de 30 minutes. Les activités adaptées retenues n’impliquent pas de travail prolongé la tête en extension et les bras au-dessus de la tête, ni de rotation rapide, ni un travail prolongé au-dessus de l’horizontale, ni de mouvements répétés d’abduction/adduction du bras, ni le port</w:t>
      </w:r>
    </w:p>
    <w:p>
      <w:r>
        <w:t>A/3617/2017 - 16/17 - de charges répété au-delà de 5 kg ou, avec le bras droit, au-delà de 2-3 kg. De surcroît, la recourante ne travaille pas dans des domaines d’activité où les performances physiques et une polyvalence sont très importantes, si bien qu’il ne peut être supposé qu’elle serait prétéritée dans la fixation du salaire à cause de ses limitations fonctionnelles. Le salaire sans invalidité était en 2007 de CHF 90'235.-, tel que l’a retenu le Tribunal fédéral. Indexé à 2015, ce salaire s’élève à CHF 98'766.- (99'235 x 2'686 / 2'454). Il ressort de la comparaison des revenus avec et sans invalidité que le degré d’invalidité est de 35 %. Il est à noter à cet égard qu'avec un abattement de 15%, la perte de gain serait toujours inférieure à 40%. Un tel degré d'invalidité n’ouvre pas le droit à une rente.</w:t>
      </w:r>
    </w:p>
    <w:p>
      <w:r>
        <w:rPr>
          <w:b/>
        </w:rPr>
        <w:t>E. 15</w:t>
      </w:r>
    </w:p>
    <w:p>
      <w:r>
        <w:t>Au vu de ce qui précède, le recours sera rejeté.</w:t>
      </w:r>
    </w:p>
    <w:p>
      <w:r>
        <w:rPr>
          <w:b/>
        </w:rPr>
        <w:t>E. 16</w:t>
      </w:r>
    </w:p>
    <w:p>
      <w:r>
        <w:t>Dès lors que la recourante succombe, un émolument de justice, fixé à CHF 200.-, sera à mis à sa charge (art. 69 al. 1bis LAI).</w:t>
      </w:r>
    </w:p>
    <w:p>
      <w:r>
        <w:t>***</w:t>
      </w:r>
    </w:p>
    <w:p>
      <w:r>
        <w:t>A/3617/2017 - 17/17 -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