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ATAS/1082/2021 vom 25. Oktober 2021</w:t>
      </w:r>
    </w:p>
    <w:p>
      <w:r>
        <w:t>GE Cour de justice, 2021-10-25, FR</w:t>
      </w:r>
    </w:p>
    <w:p>
      <w:r>
        <w:rPr>
          <w:b/>
        </w:rPr>
        <w:t xml:space="preserve">Quelle: </w:t>
      </w:r>
      <w:r>
        <w:t>https://mcp.opencaselaw.ch/entscheid/ge_gerichte_ATAS_1082_2021</w:t>
      </w:r>
    </w:p>
    <w:p>
      <w:r>
        <w:t>FR: GE_GERICHTE ATAS/1082/2021 du 25 octobre 2021</w:t>
      </w:r>
    </w:p>
    <w:p>
      <w:r>
        <w:t>IT: GE_GERICHTE ATAS/1082/2021 del 25 ottobre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Interjeté dans la forme et le délai prévus par la loi, le recours est recevable (art. 60 LPGA)</w:t>
      </w:r>
    </w:p>
    <w:p>
      <w:r>
        <w:rPr>
          <w:b/>
        </w:rPr>
        <w:t>E. 3</w:t>
      </w:r>
    </w:p>
    <w:p>
      <w:r>
        <w:t>Le litige porte sur le droit du recourant à une rente d’invalidité et à une mesure d’ordre professionnel.</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w:t>
      </w:r>
    </w:p>
    <w:p>
      <w:r>
        <w:t>A/693/2021 - 6/11 -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t>A/693/2021 - 7/11 -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Chez les assurés actifs, le degré d'invalidité doit être évalué sur la base d'une comparaison des revenus. Pour cela, le revenu que l'assuré aurait pu réaliser s'il</w:t>
      </w:r>
    </w:p>
    <w:p>
      <w:r>
        <w:t>A/693/2021 - 8/11 -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10</w:t>
      </w:r>
    </w:p>
    <w:p>
      <w:r>
        <w:t>a. En l’espèce, l’intimé a retenu que le recourant était totalement incapable d’exercer son activité habituelle dès le 27 août 2017, mais capable d’exercer une activité adaptée à ses limitations fonctionnelles dès le 28 novembre 2019. Le recourant conteste sa capacité de travail, en faisant valoir qu’il présente des douleurs aux pieds et aux genoux, entraînant des insomnies et qu’il ne peut tenir debout longtemps. b. Les médecins-traitants du recourant s’accordent pour reconnaître à celui-ci une incapacité de travail totale dans son ancienne activité et une capacité de travail totale dans une activité adaptée aux limitations fonctionnelles retenues par le SMR le 14 janvier 2021 (rapports des Drs F______ du 28 novembre 2019, G______ du 16 juillet 2021 et E______ du 7 juillet 2021). Le recourant ne produit aucun document médical qui attesterait d’une capacité de travail nulle dans toute activité, de sorte que l’intimé était fondé à retenir une capacité de travail totale du recourant, exigible dans une activité adaptée. Reste litigieuse la date de l’exigibilité d’une telle capacité de travail. c. A cet égard, contrairement à l’avis du SMR du 13 septembre 2021, les éléments médicaux au dossier ne permettent pas de confirmer la date du 28 novembre 2019. En effet, cette date est basée sur le rapport médical AI du Dr F______ ; or, celui-ci est médecin généraliste et n’a pas une spécialisation en orthopédie ; d’ailleurs, en guise de réponses à plusieurs des questions qui lui étaient posées, il a invité l’OAI à se référer aux rapports des spécialistes des HUG ; il s’est limité à attester d’une gonarthrose bilatérale du recourant et à indiquer que celui-ci « devra se reconvertir » et que, dans une activité tenant compte de l’atteinte à la santé, l’horaire est normal avec un potentiel de réadaptation bon, le recourant étant</w:t>
      </w:r>
    </w:p>
    <w:p>
      <w:r>
        <w:t>A/693/2021 - 9/11 - travailleur. Ce rapport médical ne saurait, dans ces conditions, établir à lui seul une aptitude à la réadaptation du recourant au 28 novembre 2019. Or, s’agissant des médecins spécialistes traitants, le Dr E______ a rendu, le 23 octobre 2019, un rapport après une consultation de l’assuré du 3 septembre 2019, attestant de douleurs au genou droit depuis avril 2019 en raison d’une gonarthrose ayant justifié une infiltration ; il a constaté une décompensation arthrosique du genou droit avec un important épanchement et des douleurs associées, avec globalement une déformation varisante métaphysaire ; une infiltration était envisagée en novembre 2020 suivie d’une chirurgie du genou droit. Cette proposition d’intervention chirurgicale a ensuite été réitérée lors de la consultation du 3 décembre 2019 (rapport du Dr E______ du 17 mars 2020). En définitive, le Dr E______ a considéré que l’état de santé du recourant ne serait stabilisé qu’après l’intervention du 25 août 2021 sur le genou droit et qu’une exigibilité professionnelle dans une activité adaptée ne serait donnée qu’à ce moment-là (rapport du Dr E______ du 7 juillet 2021). Quant au Dr G______, il a attesté, en mars 2020, d’une gonarthrose à droite ayant justifié deux infiltrations dont le résultat était à évaluer dans 2 à 3 mois (rapport du Dr G______ du 5 mars 2020) et a considéré que, lors de son premier rendez-vous avec le recourant, le 8 janvier 2020, la situation n’était pas stabilisée (rapport du Dr G______ du 16 juillet 2021). Ce n’est que le 2 décembre 2020, que le Dr G______ a attesté d’une capacité de travail de 100% du recourant dans une activité adaptée aux limitations fonctionnelles, après un effet partiellement favorable à 3 injections (des 14 janvier, 3 mars et 24 juin 2020) et de la physio GLA:D (pour les arthroses du genou), effectuée en octobre et novembre 2020 (rapports du G______ des 2 et 7 décembre 2020). Quant au SMR, il a également admis, dans son avis du 14 avril 2020, que la situation n’était pas stabilisée. Au demeurant, la date de l’aptitude à la réadaptation fixée par le SMR le 28 novembre 2019 n’est pas concluante et ne résiste pas à l’examen, le Dr F______ s’étant limité, comme médecin généraliste, à évoquer, à cette date, une réadaptation future du recourant, le SMR ayant d’ailleurs lui-même considéré que l’état de santé n’était pas stabilisé en avril 2020, comme cela a été relevé par les médecins- traitants, et un retour à l’emploi dans une activité adaptée n’ayant été admis qu’au plus tôt en décembre 2020 par le Dr G______. Ainsi, l’évaluation de l’état de santé du recourant, telle que présentée par le SMR - lequel retient que le recourant a présenté depuis 2019 une aggravation progressive de son état de santé par le développement d’une gonarthrose droite ayant nécessité, en août 2021, une intervention chirurgicale - doit être précisée. En effet, la décompensation arthrosique du genou droit était déjà constatée en septembre 2019, avec un important épanchement et des douleurs (une chirurgie étant déjà discutée à cette date), excluant une aptitude du recourant à la réadaptation au 28 novembre 2019.</w:t>
      </w:r>
    </w:p>
    <w:p>
      <w:r>
        <w:t>A/693/2021 - 10/11 - Au vu de ce qui précède, il convient de retenir, au degré de la vraisemblance prépondérante, une aptitude à la réadaptation du recourant dès décembre 2020, moment où le Dr G______ l’a admise, étant rappelé que ne sont examinés que les faits survenus jusqu’au jour de la décision litigieuse, en l’occurrence le 17 février 2021 (ATF 144 V 210).</w:t>
      </w:r>
    </w:p>
    <w:p>
      <w:r>
        <w:rPr>
          <w:b/>
        </w:rPr>
        <w:t>E. 11</w:t>
      </w:r>
    </w:p>
    <w:p>
      <w:r>
        <w:t>a. Compte tenu de l’incapacité de travail totale du recourant du 27 août 2017 au 30 novembre 2020, celui-ci a droit à une rente entière d’invalidité du 1er août 2018 au 28 février 2021. Vu le dépôt de la demande de prestations, le 10 octobre 2019, ce droit à une rente entière d’invalidité ne prend naissance que le 1er avril 2020 jusqu’au 28 février 2021. b. Dès décembre 2020, le degré d’invalidité est calculé en tenant compte d’une capacité de travail du recourant de 100% dans une activité adaptée, aboutissant à un degré d’invalidité de 10%, conformément au calcul effectué par l’intimé le 15 janvier 2021 et qui n’est pas contesté par le recourant, étant précisé que les revenus avant et après invalidité étant indexés sur l’ESS 2018, avec un abattement de 10% sur le revenu d’invalide, un calcul effectué en 2020 aboutirait au même résultat. Un degré d’invalidité de 10% n’ouvre pas le droit à une rente d’invalidité, ni à une mesure de reclassement (ATF 124 V 108). Quant à l’octroi d’une mesure d’ordre professionnel, telle qu’une orientation professionnelle, elle ne se justifie pas vu la capacité de travail de 100% du recourant dans toute activité respectant les limitations d’épargne des genoux, soit une activité essentiellement sédentaire (avis du SMR du 14 janvier 2021 ; arrêt du Tribunal fédéral 9C_882/2018 du 29 octobre 2009).</w:t>
      </w:r>
    </w:p>
    <w:p>
      <w:r>
        <w:rPr>
          <w:b/>
        </w:rPr>
        <w:t>E. 12</w:t>
      </w:r>
    </w:p>
    <w:p>
      <w:r>
        <w:t>En conséquence, le recours sera partiellement admis et la décision litigieuse annulée. Il sera dit que le recourant a droit à une rente entière d’invalidité du 1er avril 2020 au 28 février 2021. Le recourant n’étant pas représenté, il n’a pas droit à des dépens. Au vu du sort du recours, il y a lieu de condamner l'intimé au paiement d'un émolument de CHF 200.- (art. 69 al. 1bis LAI).</w:t>
      </w:r>
    </w:p>
    <w:p>
      <w:r>
        <w:t>A/693/2021 - 11/11 -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