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ATAS/1082/2019 vom 25. November 2019</w:t>
      </w:r>
    </w:p>
    <w:p>
      <w:r>
        <w:t>GE Cour de justice, 2019-11-25, FR</w:t>
      </w:r>
    </w:p>
    <w:p>
      <w:r>
        <w:rPr>
          <w:b/>
        </w:rPr>
        <w:t xml:space="preserve">Quelle: </w:t>
      </w:r>
      <w:r>
        <w:t>https://mcp.opencaselaw.ch/entscheid/ge_gerichte_ATAS_1082_2019</w:t>
      </w:r>
    </w:p>
    <w:p>
      <w:r>
        <w:t>FR: GE_GERICHTE ATAS/1082/2019 du 25 novembre 2019</w:t>
      </w:r>
    </w:p>
    <w:p>
      <w:r>
        <w:t>IT: GE_GERICHTE ATAS/1082/2019 del 25 novembre 2019</w:t>
      </w:r>
    </w:p>
    <w:p>
      <w:pPr>
        <w:pStyle w:val="Heading2"/>
      </w:pPr>
      <w:r>
        <w:t>Erwägungen</w:t>
      </w:r>
    </w:p>
    <w:p>
      <w:r>
        <w:rPr>
          <w:b/>
        </w:rPr>
        <w:t>E. 20</w:t>
      </w:r>
    </w:p>
    <w:p>
      <w:r>
        <w:t>mg le matin. Aux dires de l'assurée, cette prise en charge était considérée</w:t>
      </w:r>
    </w:p>
    <w:p>
      <w:r>
        <w:t>A/1893/2018 - 3/23 - comme un traitement de soutien et pour le renouvellement de son ordonnance. Il n'y avait pas de projet particulier visé dans le processus thérapeutique. L'expert proposait, au titre des mesures à envisager, un suivi psychothérapeutique avec des rendez-vous plus rapprochés, le maintien d'un setting thérapeutique structuré lui semblant nécessaire pour aider l'assurée à développer ses capacités à mobiliser ses ressources psychologiques. Sur le plan médicamenteux, l'assurée n'ayant pas répondu jusqu'à présent à son traitement antidépresseur, puisqu'elle n'était pas en rémission complète, il serait judicieux de revoir ce traitement dès maintenant, et par exemple, de le changer ou d'associer un autre antidépresseur de classe différente, sachant que le traitement n'avait pas été revu depuis des années et que la clinique restait inchangée. Cette adaptation thérapeutique n'était pas exigible car la CT restait entière. Les facteurs aggravants consistaient en une réticence de la part de l'assurée à reprendre une activité professionnelle et un déconditionnement au travail de plusieurs années. Lors de l'entretien, l'assurée semblait exagérer et augmenter ses symptômes. Il observait que des limitations fonctionnelles de type sentiment d'incapacité avec évitement et peu de motivation, mais sans incidence sur la CT, étaient objectivées. La principale ressource personnelle de l'assurée était sa famille proche qu'elle voit régulièrement. 6. Dans un rapport final subséquent, du 15 janvier 2018, le SMR a considéré que ce rapport d'expertise était pleinement convaincant et répondait aux critères de la jurisprudence pour se voir reconnaître une pleine valeur probante ; observant qu'en matière d'assurance-invalidité l'état dépressif léger n'avait pas une intensité suffisante pour influencer la CT, il a conclu qu'il n'existait aucune atteinte à la santé au sens de la LAI ; la CT était exigible à 100 % tant dans l'activité habituelle que dans une activité adaptée. 7. Par courrier du 30 janvier 2018, l'OAI a adressé à l'assurée un projet de refus de rente d'invalidité et de mesures professionnelles, rejetant ainsi sa demande. 8. Par courrier recommandé du 12 février 2018, l'assurée a contesté ce projet : elle n'était pas bien parce qu'elle est phobique (peur du monde et peur de sortir de chez elle) ; elle ne supporte pas son image, ne se reconnaît pas, reste cloîtrée plusieurs heures au lit, ne reste debout que quatre heures par jour au maximum ; elle a des douleurs (maux de tête et de ventre) et des vertiges ; quand ses angoisses montent, elle a des hyperventilations. En raison de ses angoisses, elle pleure avant tous ses rendez-vous à l'extérieur et souvent n'en dort pas la nuit ; suite à ces peurs, elle annule fréquemment ses rendez-vous. C'est d'ailleurs pour toutes ces raisons qu'elle est suivie par une psychiatre traitante et une infirmière à domicile (soins en psychiatrie et relation d'aide). Elle demandait donc le réexamen de son dossier, précisant que sa psychiatre ne manquerait pas de communiquer à l'OAI les documents justifiant son état actuel. 9. Dans le délai imparti par l'OAI, et après avoir sollicité la copie du dossier AI de sa patiente, la psychiatre traitante a adressé un courrier (le 7 mars 2018) à l'OAI. Elle soutient la contestation de sa patiente. Elle y expose les raisons pour lesquelles elle</w:t>
      </w:r>
    </w:p>
    <w:p>
      <w:r>
        <w:t>A/1893/2018 - 4/23 - ne partage pas l'avis de l'expert. En substance, elle reproche à l'expert d'avoir écarté le diagnostic de trouble de personnalité évitante (F60.9 [CIM 10] et 301.82 [DSM V]). La psychiatre traitante considère que ce diagnostic constitue la pathologie centrale de sa patiente. Selon elle, cette dernière en présente tous les critères. Elle indique que sa patiente n'arrive à évoluer dans ses relations que dans un environnement familier, et présente sinon une forte inhibition, l'empêchant de déployer les compétences nécessaires pour la recherche ou le maintien d'un emploi. Elle reproche en outre à l'expert de ne pas tenir compte de la récurrence de l'état dépressif de sa patiente, avec plusieurs épisodes depuis 2011, ce qui constitue selon elle un facteur de vulnérabilité au stress et expose l'intéressée à d'autres récidives. 10. Dans un avis motivé du 12 avril 2018, le SMR s'est prononcé sur le rapport médical de la psychiatre traitante. Selon lui, l'opinion de l'expert reste valable, l'avis de la psychiatre traitante procédant d'une appréciation différente des mêmes faits. L'expert a analysé l'assurée en relation aux symptômes de la lignée anxieuse ; il constate que l'assurée n'a pas peur des grands magasins, qu’elle arrive à faire ses courses seule et sans difficulté ; il n'y a pas d'évitement des lieux clos, des salles fermées à clé, ascenseurs ou tunnels. Pas de tendance à éviter la foule. Pas d'obsession-compulsion. L'expert considère que l'assurée possède des traits de personnalité évitante, mais ne présente pas d'inhibition sociale, qu’elle a le sentiment de ne pas être à la hauteur et qu’elle évite des activités impliquant des contacts avec autrui. Il considère en outre que l'assurée présente des éléments de tristesse et une baisse de l'estime de soi. Elle présente aussi un sentiment de dévalorisation et des pensées pessimistes par rapport à son avenir. Les éléments, de par leur nature et leur intensité, correspondent à un diagnostic d'épisode dépressif léger, avec syndrome somatique (F32. 01). S'agissant du diagnostic d'anxiété généralisée (personnalité évitante), posé par la psychiatre traitante, l'expert n'a pas trouvé d’éléments ni de symptômes cliniques compatibles. 11. Fort de quoi l'OAI a notifié sa décision de refus de rente d'invalidité à l'assurée, par courrier recommandé du 19 avril 2018. À l'issue de l'instruction de la demande, le SMR avait estimé nécessaire de compléter le dossier par une expertise médicale. Après avoir pris connaissance du rapport d'expertise ainsi que de l'ensemble des éléments versés au dossier, le service médical concluait que l'assurée ne présente pas d'atteinte invalidante au sens de l'assurance-invalidité. Après audition, le SMR considère que le rapport médical transmis dans le cadre de celle-ci est une appréciation différente des mêmes faits et n'apporte aucun élément objectif pouvant modifier les conclusions du projet de décision. 12. Le courrier recommandé n'avait pas été retiré, et avait été retourné à l'expéditeur le 4 mai 2019. L'OAI l’a communiqué à l'assurée, par pli du 6 mai 2018, en annexe à une formule de transmission préimprimée à choix multiple (quant au type de communication), en cochant d'une croix la rubrique « pour vos dossiers », et en précisant sous « Remarques » : « Décision du 19 avril 2018 adressée en courrier recommandé et non retiré à la poste. ».</w:t>
      </w:r>
    </w:p>
    <w:p>
      <w:r>
        <w:t>A/1893/2018 - 5/23 - 13. Par courrier du 1er juin 2018, l'assurée a saisi la chambre des assurances sociales de la Cour de justice d'un recours, libellé comme suit : « Madame, Monsieur, Je vous avise par la présente que je n'accepte pas votre décision de votre courrier du 6 mai 2018 dans lequel, vous m'informez du maintien de votre refus. Je vous informe que je désire faire recours, car j'estime que l'expertise médicale effectuée est incomplète. En effet, elle ne prend pas en compte la gravité de mon état de santé. Mon médecin, la Dre C______, apportera un complément d'information, dès qu'elle aura accès à mon dossier de demande de rente AI. Avec mes salutations les meilleures.</w:t>
      </w:r>
    </w:p>
    <w:p>
      <w:r>
        <w:t>(Signature) » 14. La chambre de céans a procédé à une instruction, sur la question de la recevabilité du recours. 15. En cours d'instruction, la recourante a communiqué à la chambre de céans deux documents supplémentaires émanant de la Dresse C______ : - une attestation à qui de droit datée du 26 juin 2018 ayant la teneur suivante : « La patiente susmentionnée est suivie à ma consultation depuis le</w:t>
      </w:r>
    </w:p>
    <w:p>
      <w:r>
        <w:rPr>
          <w:b/>
        </w:rPr>
        <w:t>E. 25</w:t>
      </w:r>
    </w:p>
    <w:p>
      <w:r>
        <w:t>Par courrier du 22 juillet 2019, ayant soumis le nouveau document médical produit au SMR, et se fondant sur l'avis de ce dernier, l'OAI a persisté dans ses conclusions. Il ressort de l'avis du SMR du 19 juillet 2019 que le courriel de la psychiatre traitante du 3 juillet 2019 n'apporte pas d'éléments cliniques objectifs susceptibles de modifier son appréciation. Dans son avis précédent, le SMR mettait en évidence un extrait du bilan neuropsychologique ordonné par la psychiatre traitante, et dont il ressort notamment : « Interrogée sur son quotidien, elle (la patiente) dit ne pas sortir beaucoup, n'en ayant pas envie et n'ayant pas de motivation. Elle s'occupe de son ménage, ne lit pas, passe du temps sur son portable, et reconnait s'ennuyer un peu. Elle se dit bien entourée par sa famille qu'elle juge même un peu envahissante ». Le SMR observe à cet égard que l'on est en présence d'un manque de motivation de la part de l'assurée et non pas de l'existence d'une comorbidité psychiatrique de type phobie sociale. Par ailleurs, le descriptif de la vie courante (notamment page 4 du rapport d'expertise psychiatrique) permet de retenir une absence de limitations dans les actes courants de la vie. L'assurée dispose des ressources sociales (parents/sœurs) et personnelles préservées et mobilisables. EN DROIT 1. Conformément à l'art. 134 al. 1 let. a ch. 2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Par arrêt incident du 17 septembre 2018 (ATAS/806/2018) la chambre de céans a déclaré le recours recevable, de sorte qu'il n'y a pas lieu d'y revenir. 4. Le litige porte sur le droit de la recourante aux prestations de l'assurance-invalidité, en particulier au droit à la rente, voire aux mesures professionnelles.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l'assurée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w:t>
      </w:r>
    </w:p>
    <w:p>
      <w:r>
        <w:t>A/1893/2018 - 11/23 - celle-ci n’est pas objectivement surmontable (al. 2 en vigueur dès le 1er janvier 2008). 6. En vertu de l’art. 28 al. 2 LAI, l’assuré a droit à une rente entière s’il est invalide à 70% au moins, à un trois-quarts de rente s'il est invalide à 60 % au moins, à une demi-rente s’il est invalide à 50 % au moins, ou à un quart de rente s’il est invalide à 40 % au moins. 7. Pour évaluer le taux d'invalidité, le revenu que l'assurée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8.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 arrêt du Tribunal fédéral 9C_73/2013 du 2 septembre 2013 consid. 5). Dans sa jurisprudence récente (ATF 143 V 409 consid. 4.5 et ATF 143 V 418 consid. 6 et 7), le Tribunal fédéral a modifié sa pratique lors de l'examen du droit à une rente d'invalidité en cas de troubles psychiques. La jurisprudence développée</w:t>
      </w:r>
    </w:p>
    <w:p>
      <w:r>
        <w:t>A/1893/2018 - 12/23 -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standard qui doivent être pris en considération en règle générale peuvent être classés selon leurs caractéristiques communes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w:t>
      </w:r>
    </w:p>
    <w:p>
      <w:r>
        <w:t>A/1893/2018 - 13/23 - affects et des impulsions, intentionnalité et motivation ;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Pour des motifs de proportionnalité, on peut renoncer à une telle évaluation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9.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w:t>
      </w:r>
    </w:p>
    <w:p>
      <w:r>
        <w:t>A/1893/2018 - 14/23 -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l’assurée est déterminante pour juger du caractère invalidant ou non de l’atteinte à la santé. Le refus de l'assurée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l’assurée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w:t>
      </w:r>
    </w:p>
    <w:p>
      <w:r>
        <w:t>A/1893/2018 - 15/23 - Si des difficultés sociales ont directement des conséquences fonctionnelles négatives, elles continuent à ne pas être prises en considération. En revanche, le contexte de vie de l’assurée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l’assurée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 ATF 137 V 64 consid. 1.2 in fine). d.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w:t>
      </w:r>
    </w:p>
    <w:p>
      <w:r>
        <w:t>A/1893/2018 - 16/23 -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Ceci dit, selon cette jurisprudence, du point de vue du droit intertemporel, il faut procéder par analogie à l’ATF 137 V 210 (en ce qui concerne les exigences de l’État de droit en matière d’expertise médicale). Selon cet arrêt, les expertises mises en œuvre selon l’ancien standard de procédure ne perdent pas en soi valeur de preuve. Il est même décisif dans le cadre d’un examen global d’un cas particulier avec ses spécificités et les griefs invoqués de savoir si une prise en compte définitive d’éléments de preuve existants résiste devant le droit fédéral (ATF op. cit., consid. 6 in initio, p. 266). Dans l’application par analogie des exigences désormais modifiées en matière de droit matériel des preuves, il faut examiner dans chaque cas si l’expertise administrative et / 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consid.8). 10.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 ATF 125 V 351 consid. 3a). 11. Selon la jurisprudence rendue jusque-là à propos des dépressions légères à moyennes, les maladies en question n'étaient considérées comme invalidantes que</w:t>
      </w:r>
    </w:p>
    <w:p>
      <w:r>
        <w:t>A/1893/2018 - 17/23 -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12.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 ATF 114 V 310 consid. 3c ;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t>A/1893/2018 - 18/23 -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w:t>
      </w:r>
    </w:p>
    <w:p>
      <w:r>
        <w:t>A/1893/2018 - 19/23 -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13.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que,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w:t>
      </w:r>
    </w:p>
    <w:p>
      <w:r>
        <w:t>A/1893/2018 - 20/23 -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 Cst. étant toujours valable (ATF 124 V 90 consid. 4b ; ATF 122 V 157 consid. 1d).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15. En l'espèce, la décision de l'OAI du 19 avril 2018, rejetant la demande de prestations de l'assurée, est fondée sur le rapport d'expertise psychiatrique ainsi que sur l'ensemble des éléments versés au dossier, le service médical ayant conclu à la pleine valeur probante du rapport d'expertise, estimant que l'avis du psychiatre traitant n'était pas susceptible de remettre en cause les conclusions de l'expert. La recourante, notamment par le truchement de sa psychiatre traitante, conteste l'appréciation de l'expert qui, suivi par le SMR et par l'OAI, considère que la CT de l'assurée est totale (100 %), dans toutes activités correspondant à ses capacités et à son niveau d'instruction. Il y a dès lors lieu d'examiner si, comme le soutient l'intimé et son service médical, de déterminer si l'on peut accorder au rapport d'expertise psychiatrique une pleine valeur probante, selon les exigences de la jurisprudence rappelée ci-dessus, et notamment de déterminer si l'expert, s'étant prononcé avant que le Tribunal fédéral étende la jurisprudence applicable aux TSD et troubles associés (procédure d'établissement des faits structurée et sans résultat prédéfini, permettant de mettre en regard les facteurs extérieurs incapacitants d’une part et les ressources de compensation de la personne d’autre part (ATF 141 V 281 consid. 3.6 et 4) dorénavant à toutes les maladies psychiques, y compris pour les troubles dépressifs de degré léger ou moyen (ATF 143 V 409 consid. 4.5.1).</w:t>
      </w:r>
    </w:p>
    <w:p>
      <w:r>
        <w:t>A/1893/2018 - 21/23 - La chambre de céans considère que l'expertise du Dr E______, médecin indépendant de l'intimé et spécialiste reconnu, peut se voir reconnaître à la forme une pleine valeur probante. Conformément à la jurisprudence rappelée ci-dessus, cette expertise se base sur des observations approfondies et des investigations complètes, ainsi qu'en pleine connaissance du dossier, l'expert aboutissant à des résultats convaincants. Il est en particulier fondé sur une anamnèse détaillée, qui prend en compte les plaintes de la patiente, un examen clinique détaillé, aboutissant à un diagnostic précis, celui d'épisode dépressif léger, avec syndrome somatique (F32.01). Il y est parvenu au terme de constatations objectives lors de son examen, après avoir également pris en considération les avis médicaux versés au dossier, soit en particulier ceux de la psychiatre traitante. Cette dernière retenait le diagnostic d'anxiété généralisée, diagnostic que l'expert a expressément écarté, considérant qu'en intégrant l'ensemble du tableau clinique de l'examen du jour, il ne retenait pas de symptômes cliniques en lien avec une quelconque forme de peur ou d'anxiété, comme par exemple l'attente craintive pouvant se manifester notamment par des troubles neurovégétatifs, décrits, et qu'il n'a pas constatés. On observera également que, sous l'angle de la jurisprudence prescrivant désormais une procédure d'établissement des faits structurée, on retrouve dans le rapport d'expertise, ceci quand bien même la nomenclature adoptée par l'expert ne reprend pas l'énumération des indicateurs sous la même forme que celle décrite ci-dessus, tous les éléments nécessaires permettant de se forger une opinion et aboutir à des conclusions valables. Au niveau du complexe « contexte social », l'expert a notamment retenu, dans la description des activités quotidiennes, que l'intéressée accomplit sans difficulté son ménage et gère son administration, garde un contact avec son entourage, en recevant régulièrement ses sœurs, qui lui rendent visite plusieurs fois par semaine ; elle va également rendre visite à ses parents, et va quotidiennement sur Internet notamment sur les réseaux sociaux. Ses ressources sont donc préservées, et l'on peut attendre d'elle qu'elle consacre les efforts nécessaires à les mettre en valeur pour reprendre une activité professionnelle entière dans toutes activités selon les conclusions de l'expert. Ce dernier a relevé que l'expertisée n'a pas d'attente particulière dans le processus thérapeutique autre qu'un soutien psychologique et la prescription de son traitement médicamenteux qu'elle suit sans modification depuis 2015. En revanche, ses attentes par rapport à l'assurance-invalidité sont le versement d'une rente complète - l'expert a retenu que les mesures envisagées consisteraient tout d'abord à instaurer un suivi psychothérapeutique avec des rendez-vous plus rapprochés, le maintien d'un setting thérapeutique structuré lui semble nécessaire pour aider l'assurée à développer ses capacités à mobiliser ses ressources psychologiques. Il serait également judicieux, selon lui, de revoir le traitement médicamenteux. Dans la mesure où la CT reste entière, l'expert observe que si ces mesures sont recommandées dès la date de son rapport, elles ne sont pas exigibles. Il relève enfin que les facteurs aggravants consistent en une réticence de la part de l'assurée à reprendre une activité professionnelle et un déconditionnement au travail de plusieurs années. Il indiquait</w:t>
      </w:r>
    </w:p>
    <w:p>
      <w:r>
        <w:t>A/1893/2018 - 22/23 - en outre et pour conclure que lors de l'entretien l'assurée semble exagérer et augmenter ses symptômes. Ainsi, on retiendra une pleine valeur probante au rapport d'expertise. S'agissant des critiques de ce rapport par la psychiatre traitante, tant dans le cadre de l'audition que par la suite encore dans le cadre de la procédure de recours, elles ne sauraient emporter la conviction. La psychiatre n'apporte aucun élément vérifiable objectivement, susceptible de susciter un doute quant à la fiabilité des conclusions de l'expert. Elle se fonde surtout sur le point de vue subjectif de la patiente, et il convient à cet égard d'avoir à l'esprit la différence constamment rappelée par la jurisprudence entre le mandat thérapeutique caractérisé par le rapport de confiance existant entre le patient et son thérapeute, dont on n'attend pas un regard objectif comme celui de l'expert. Les nombreux diagnostics qu'elle énonce dans ses rapports successifs, en cours de procédure judiciaire, n'apporte pas non plus d'éléments objectifs convaincants. Les observations du SMR, à qui les nouveaux documents médicaux produits en cours de procédure, ont régulièrement été soumis, apparaissent, à l'inverse, cohérentes et convaincantes. Pour la plupart, de ces diagnostics, le SMR observe qu'ils procèdent d'une appréciation différente des mêmes faits, qui ne remet pas non plus en cause les conclusions de l'expert. Il est enfin rappelé, selon la jurisprudence, que la chambre de céans doit, dans la règle, apprécier les faits tels qu'ils se présentaient lors de la décision entreprise. Ainsi, à supposer, car cela n'est pas démontré, que la situation de la recourante se soit aggravée en cours de procédure judiciaire, il lui appartiendrait alors de déposer une nouvelle demande de prestations auprès de l'intimé. La chambre de céans considère dès lors que rien ne justifie de donner suite aux conclusions de la recourante tendant à ce que soit ordonnée une nouvelle expertise psychiatrique, référence étant faite à la jurisprudence citée précédemment à cet égard. Au vu de ce qui précède, la décision entreprise était pleinement justifiée, de sorte qu'elle doit être maintenue. 16. Le recours sera donc rejeté. 17. Bien que la procédure ne soit pas gratuite en matière d'assurance-invalidité (art. 69 al. 1bis LAI), il convient de renoncer à la perception d'un émolument, la recourante étant au bénéfice de l'assistance juridique (art. 13 al. 1 du règlement sur les frais, émoluments et indemnités en procédure administrative du 30 juillet 1986 [RFPA - E 5 10.03]).</w:t>
      </w:r>
    </w:p>
    <w:p>
      <w:r>
        <w:t>A/1893/2018 - 23/23 -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