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ATAS/1082/2016 vom 20. Dezember 2016</w:t>
      </w:r>
    </w:p>
    <w:p>
      <w:r>
        <w:t>GE Cour de justice, 2016-12-20, FR</w:t>
      </w:r>
    </w:p>
    <w:p>
      <w:r>
        <w:rPr>
          <w:b/>
        </w:rPr>
        <w:t xml:space="preserve">Quelle: </w:t>
      </w:r>
      <w:r>
        <w:t>https://mcp.opencaselaw.ch/entscheid/ge_gerichte_ATAS_1082_2016</w:t>
      </w:r>
    </w:p>
    <w:p>
      <w:r>
        <w:t>FR: GE_GERICHTE ATAS/1082/2016 du 20 décembre 2016</w:t>
      </w:r>
    </w:p>
    <w:p>
      <w:r>
        <w:t>IT: GE_GERICHTE ATAS/1082/2016 del 20 dicembre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L'objet du litige porte sur le calcul du droit aux prestations complémentaires du recourant à compter de janvier 2012, mais se limite à la question de savoir si c’est à juste titre que l’intimé a retenu CHF 105'826.80 à titre de fortune au 31 décembre 2014 pour le calcul des prestations 2015.</w:t>
      </w:r>
    </w:p>
    <w:p>
      <w:r>
        <w:rPr>
          <w:b/>
        </w:rPr>
        <w:t>E. 4</w:t>
      </w:r>
    </w:p>
    <w:p>
      <w:r>
        <w:t>Interjeté dans les forme et délai prévus par la loi, le recours est recevable (art. 56 et 60 LPGA ; art. 43 LPCC).</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t>A/121/2016 - 6/8 -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6</w:t>
      </w:r>
    </w:p>
    <w:p>
      <w:r>
        <w:t>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 La LPCC renvoie à la réglementation fédérale pour le calcul du revenu et la fortune déterminants, sous réserve de quelques adaptations (art. 5 et 7 LPCC).</w:t>
      </w:r>
    </w:p>
    <w:p>
      <w:r>
        <w:rPr>
          <w:b/>
        </w:rPr>
        <w:t>E. 7</w:t>
      </w:r>
    </w:p>
    <w:p>
      <w:r>
        <w:t>Aux termes de l’art. 11 al. 1 LPC, les revenus déterminants comprennent, entre autres, le produit de la fortune mobilière et immobilière (let. b) et un quinzième de la fortune nette - un dixième pour les bénéficiaires de rentes de vieillesse, dans la mesure où elle dépasse CHF 37'500.- pour les personnes seules et CHF 60'000.- pour les couples (let. c). En dérogation à l'art. 11 al. 1 let. c, l'art. 5 let. c LPCC dispose notamment que la part de la fortune nette prise en compte dans le calcul du revenu déterminant est d’un huitième, respectivement d’un cinquième pour les bénéficiaires de rentes de vieillesse. Selon l'art. 23 de l’ordonnance sur les prestations complémentaires à l’assurance- vieillesse, survivants et invalidité du 15 janvier 1971 (OPC-AVS/AI - RS 831.301) et l'art. 9 LPCC, sont pris en compte, en règle générale, pour le calcul de la prestation complémentaire annuelle, les revenus déterminants obtenus au cours de l'année civile précédente et l'état de la fortune le 1er janvier de l'année pour laquelle la prestation est servie (al. 1) ; peut également entrer en considération comme période de calcul celle sur laquelle se fonde la dernière taxation fiscale (al. 2). La prestation complémentaire annuelle doit toujours être calculée compte tenu des rentes, pensions et autres prestations périodiques en cours (art. 11 al. 1 let. d LPC - al. 3).</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9</w:t>
      </w:r>
    </w:p>
    <w:p>
      <w:r>
        <w:t>Le juge des assurances sociales fonde sa décision, sauf dispositions contraires de la loi, sur les faits qui, faute d’être établis de manière irréfutable, apparaissent comme</w:t>
      </w:r>
    </w:p>
    <w:p>
      <w:r>
        <w:t>A/121/2016 - 7/8 -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 fortune mobilière brute retenue par l’AFC dans sa taxation 2014 est bel et bien de CHF 105'827.-, mais il a été mis en évidence au cours de l’instruction que ce chiffre était erroné et que le montant de la fortune au 31 décembre 2014 aurait dû être fixé à CHF 84'103.80, chiffre qui n’est désormais plus contesté. Il en découle que les plans de calculs de l’intimé annexés à la décision rendue en juin 2015 sont erronés. Il convient donc d’admettre le recours et de renvoyer la cause à l’intimé à charge pour ce dernier de reprendre ses calculs et d’établir le droit aux prestations du recourant pour la période du 1er janvier 2012 au 30 juin 2015 sur la base de ce nouveau montant.</w:t>
      </w:r>
    </w:p>
    <w:p>
      <w:r>
        <w:t>A/121/2016 - 8/8 -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