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ATAS/1082/2012 vom 29. August 2012</w:t>
      </w:r>
    </w:p>
    <w:p>
      <w:r>
        <w:t>GE Cour de justice, 2012-08-29, FR</w:t>
      </w:r>
    </w:p>
    <w:p>
      <w:r>
        <w:rPr>
          <w:b/>
        </w:rPr>
        <w:t xml:space="preserve">Quelle: </w:t>
      </w:r>
      <w:r>
        <w:t>https://mcp.opencaselaw.ch/entscheid/ge_gerichte_ATAS_1082_2012</w:t>
      </w:r>
    </w:p>
    <w:p>
      <w:r>
        <w:t>FR: GE_GERICHTE ATAS/1082/2012 du 29 août 2012</w:t>
      </w:r>
    </w:p>
    <w:p>
      <w:r>
        <w:t>IT: GE_GERICHTE ATAS/1082/2012 del 29 agosto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w:t>
      </w:r>
    </w:p>
    <w:p>
      <w:r>
        <w:t>A/254/2012 - 8/16 - s'applique sans réserve dès le jour de son entrée en vigueur (ATF 117 V 93 consid. 6b, ATF 112 V 360 consid. 4a; RAMA 1998 KV 37 p. 316 consid. 3b). En l'espèce, au vu des faits pertinents, du point de vue matériel, le droit éventuel aux prestations doit être examiné au regard des dispositions légales résultant des 4ème et 5ème révisions de la LAI, soit jusqu’au 31 décembre 2011, dans la mesure de leur pertinence (ATF 130 V 445 et les références; voir également ATF 130 V 329). Cela étant, ces novelles n'ont pas amené de modifications substantielles en matière d'évaluation de l'invalidité (ATFA non publié I 249/05 du 11 juillet 2006, consid.</w:t>
      </w:r>
    </w:p>
    <w:p>
      <w:r>
        <w:rPr>
          <w:b/>
        </w:rPr>
        <w:t>E. 2.1</w:t>
      </w:r>
    </w:p>
    <w:p>
      <w:r>
        <w:t>et Message concernant la modification de la loi fédérale sur l'assurance- invalidité du 22 juin 2005, FF 2005 p. 4322).</w:t>
      </w:r>
    </w:p>
    <w:p>
      <w:r>
        <w:rPr>
          <w:b/>
        </w:rPr>
        <w:t>E. 3</w:t>
      </w:r>
    </w:p>
    <w:p>
      <w:r>
        <w:t>Interjeté dans les forme et délai prévus par la loi, le recours est recevable (art. 54 et 60 LPGA).</w:t>
      </w:r>
    </w:p>
    <w:p>
      <w:r>
        <w:rPr>
          <w:b/>
        </w:rPr>
        <w:t>E. 4</w:t>
      </w:r>
    </w:p>
    <w:p>
      <w:r>
        <w:t>Le litige consiste à déterminer si l’intimé était fondé, suite à la procédure de revision, à réduire la rente du recourant à un quart de rente d’invalidité.</w:t>
      </w:r>
    </w:p>
    <w:p>
      <w:r>
        <w:rPr>
          <w:b/>
        </w:rPr>
        <w:t>E. 5</w:t>
      </w:r>
    </w:p>
    <w:p>
      <w:r>
        <w:t>Selon l’art. 17 al. 1er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w:t>
      </w:r>
    </w:p>
    <w:p>
      <w:r>
        <w:t>A/254/2012 - 9/16 -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rPr>
          <w:b/>
        </w:rPr>
        <w:t>E. 7</w:t>
      </w:r>
    </w:p>
    <w:p>
      <w:r>
        <w:t>Pour pouvoir calculer le degré d'invalidité, l'administration (ou le juge, s'il y a eu un recours) a besoin de documents que le médecin, éventuellement aussi d'autres</w:t>
      </w:r>
    </w:p>
    <w:p>
      <w:r>
        <w:t>A/254/2012 - 10/16 -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8</w:t>
      </w:r>
    </w:p>
    <w:p>
      <w:r>
        <w:t>En l’espèce, l’intimé a confié une expertise au Dr P_________, afin de déterminer quelle a été l’évolution de l’état de santé du recourant et, le cas échéant, les répercussions sur sa capacité de travail. Selon l’expert, depuis la transplantation hépatique, l’évolution est favorable, les tests hépatiques sont alignés, il n’y a pas de signes infectieux ou inflammatoires, et les autres examens de laboratoire sont dans les limites de la normale. Le patient se plaint d’une asthénie persistante pour laquelle il n’est pas trouvé de réel substrat organique. L’expert relève qu’à part une obésité et un déconditionnement majeur, sans doute réversible, la limitation à la marche et l’intolérance aux efforts ne reçoivent pas d’explication tant cardiologique que neurologique. Le recourant bénéficie d’un traitement antidépresseur jugé efficace depuis plusieurs années par son médecin traitant, si bien qu’il n’a jamais été nécessaire de faire appel à une prise en charge spécialisée. Le patient apparaît enjoué, ne présente pas de trouble cognitif et est parfaitement vigilant. Reprenant les termes de la Dresse O_________ (cf. rapport du 30 septembre 2009 au Dr L_________), l’expert indique que l’état général du recourant est florissant. Pour le Dr P________, les limitations fonctionnelles décrites par le recourant sont éminemment subjectives. La fatigue dont il se plaint, de même que la limitation à la marche pourraient être largement compensées par un réentrainement accompagné ou non de l’arrêt du traitement de bêta bloquant. L’expert considère ainsi qu’un an</w:t>
      </w:r>
    </w:p>
    <w:p>
      <w:r>
        <w:t>A/254/2012 - 11/16 - après la transplantation, en décembre 2008, la capacité de travail du recourant est d’au moins 50 % dans l’activité antérieure de polisseur dans l’industrie horlogère et à 80 % dans une activité adaptée, une perte de rendement de 20 % étant reconnue en raison de l’asthénie persistante. La Cour de céans constate que le rapport d’expertise comprend une anamnèse personnelle, familiale, sociale et professionnelle complète et circonstanciée, que les plaintes émises par le recourant sont relatées de manière détaillée, que l’expert a procédé à un examen complet, que les diagnostics ont été posés au regard de la classification internationale reconnue. L’expert s’est ensuite livré à une appréciation et discussion du cas minutieuse. L’évolution favorable de l’état de santé a été confirmée tant par le médecin traitant que par les autres médecins ayant traité le recourant (cf. rapport du Prof. MOREL du 21 janvier 2008 : rapport de la Dresse O_________ du 30 septembre 2009 ; rapports du Dr L_________ des 14 octobre 2010 et 14 décembre 2010). Sur ce point, l’expertise revêt pleine valeur probante. L’évaluation de la capacité de travail résiduelle est toutefois contestée par le recourant, qui se fonde sur les avis de son médecin traitant. Selon le Dr L________, même si l’état de santé du recourant s’est amélioré, il demeure une asthénie persistante qui l’empêche d’exercer une quelconque activité lucrative. En tant qu’il conclut à une incapacité de travail totale, l’avis du Dr L_________ est à cet égard isolé. En effet, dans son rapport du 14 octobre 2010 à l’attention de l’intimé, la Dresse O________ indique que le recourant présente une capacité de travail de 50 % et qu’il convient de faire une réadaptation dans une activité sédentaire, à discuter avec le médecin traitant. Elle précise que seules des activités en position assise peuvent être exercées ou dans différentes positions, les capacités de concentration, de compréhension, d’adaptation et la résistance étant également limitées à 50 %. Le Dr Q________, par courrier du 24 avril 2012. s’est rallié à cette appréciation, estimant lui aussi que le recourant présente une capacité de travail d’au moins 50 % dans une activité sédentaire n’impliquant pas de travail physique important. Ce médecin a précisé encore que la détérioration de l’état de santé telle qu’évoquée par le recourant ne lui paraît pas de nature à altérer de façon significative la capacité de travail. Cela étant, il demeure une divergence entre les conclusions de l’expert et celles des cardiologues, quant au taux de capacité de travail résiduelle, de la date à partir de laquelle elle est exigible et dans quel type d’activité. Concernant tout d’abord l’activité exigible, la Cour de céans considère que celle antérieure de polisseur dans l’industrie horlogère est à exclure totalement comme les cardiologues l’ont mentionné, dès lors qu’elle implique des efforts physiques importants. Sur ce point, elle ne peut suivre l’avis de l’expert, relevant par ailleurs que ce dernier a tempéré ses propos, dans la mesure où il semble retenir finalement une exigibilité dans une activité adaptée. Ensuite, pour l’expert, l’asthénie importante justifie une</w:t>
      </w:r>
    </w:p>
    <w:p>
      <w:r>
        <w:t>A/254/2012 - 12/16 - diminution de rendement de 20 %, de sorte que la capacité de travail résiduelle est de 80 % dans une activité adaptée, ce dès décembre 2008. De l’avis des cardiologues, dans une activité sédentaire, elle est de 50 % selon la Dresse O________ qui précise par ailleurs que les limitations sont valables dès 2011 (cf. pièce no. 39, page 5, dossier OAI), d’au moins 50 % selon le Dr Q________. Ce dernier ne précise pas depuis quand cette capacité de travail existe, étant relevé toutefois qu’il déclare partager l’avis de la Dresse O________. Dans la mesure où le Dr Q________ est plus optimiste que la Dresse O________ quant à la capacité de travail résiduelle, les conclusions de l’expert estimant que celle-ci est de 80 % dans une activité adaptée n’apparaissent pas arbitraires, de sorte que la Cour de céans s’y ralliera. Concernant en revanche la date à partir de laquelle le début de l’activité résiduelle est exigible, la Cour de céans ne peut suivre l’avis de l’expert. Rien dans le dossier ne permet en effet de faire remonter cette date à décembre 2008 (et non 2007 comme indiqué par erreur dans la décision litigieuse). L’expert - qui a examiné le recourant en mars 2011 - n’explique pas pour quelle raison il s’est distancé des conclusions de la Dresse O_________. Au vu de ce qui précède, la Cour de céans retient que le recourant présente une capacité de travail de 80 % dans une activité adaptée, sédentaire et sans effort physique important, depuis début 2011.</w:t>
      </w:r>
    </w:p>
    <w:p>
      <w:r>
        <w:rPr>
          <w:b/>
        </w:rPr>
        <w:t>E. 9</w:t>
      </w:r>
    </w:p>
    <w:p>
      <w:r>
        <w:t>Reste à déterminer le degré d’invalidité du recourant.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Selon les renseignements communiqués par l’employeur, le salaire réalisé par le recourant était de 67'562 fr. pour l’année 2003, y compris le treizième salaire, la prime de fidélité de 2’600 fr et une prime de performance de 3'100 fr. En 2010, le salaire mensuel se serait élevé à 4'980 fr. selon le renchérissement conventionnel,</w:t>
      </w:r>
    </w:p>
    <w:p>
      <w:r>
        <w:t>A/254/2012 - 13/16 - mais sans les éventuelles augmentations de mérite, difficiles à estimer. Il convient de réactualiser le salaire réalisé en 2003 à 2011, de sorte que le salaire sans invalidité est de 75'047 fr. Quant au revenu d’invalide, il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Enfin, le Tribunal fédéral a eu l’occasion de préciser, dans un arrêt du 19 décembre 2003 (ATF 130 V 121), que le résultat exact du calcul du degré d’invalidité doit être arrondi au chiffre en pour cent supérieur ou inférieur selon les règles applicables en mathématiques. En l’occurrence, en l’absence d’une activité lucrative exercée par le recourant, il convient, pour le revenu d’invalide, de se référer aux salaires statistiques. Le salaire de référence est celui que peuvent réaliser les hommes pour des tâches simples et répétitives (Tables ESS, tableau TA1, niveau 4). En effet, le niveau 4 de qualification des ESS s'applique en principe à toutes les assurées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qu'elles seraient en mesure de réaliser en tant qu'invalides dès lors qu'il recouvre un large éventail d'activités variées et non qualifiées, n'impliquant pas de formation particulière et compatibles avec des limitations fonctionnelles peu contraignantes (ATF non publié 9C_444/2010 du 20 décembre 2010, consid. 2.3). En 2010, le salaire de référence s’élevait à 4'901 fr. par mois pour 40 heures de travail hebdomadaire, soit 5'109 fr. pour une durée moyenne usuelle du travail dans les entreprises de 41,7 heures en 2011 (cf. la Vie économique 7/8-2012, tableau B.10.3) et 61’311 fr. annuel. Réactualisé à 2011 (année déterminante en l’espèce), le salaire s’établit à 61'901 fr. , soit 49'520 fr. 80 pour une activité à 80 %.</w:t>
      </w:r>
    </w:p>
    <w:p>
      <w:r>
        <w:t>A/254/2012 - 14/16 - L’intimé a procédé à un abattement de 15 % sur le revenu d’invalide, insuffisant selon le recourant qui conclut à un abattement de 25 % compte tenu de ses limitations et de son âge. Il convient de rappeler que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ATF 123 V 150 consid. 2 et les références). En l’occurrence, l’intimé a retenu que l’assuré, de nationalité portugaise, titulaire d’un permis C, ne pouvait exercer qu’une activité légère et sédentaire. Compte tenu des limitations fonctionnelles, il a fixé la réduction à 15 %. La Cour de céans considère que ce taux tient suffisamment compte des circonstances du cas concret, de sorte qu’il n’a pas de motif pour s’en écarter (voir par ex. ATF 9C_1047/2008). Le revenu d’invalide s’élève en définitive à 42'092 fr. Comparé au revenu de valide, le degré d’invalidité du recourant s’établit bien à 43,91 %, arrondi à 44 %, taux qui ne permet plus le maintien de la rente entière, mais ouvre droit dorénavant à un quart de rente d’invalidité.</w:t>
      </w:r>
    </w:p>
    <w:p>
      <w:r>
        <w:rPr>
          <w:b/>
        </w:rPr>
        <w:t>E. 10</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w:t>
      </w:r>
    </w:p>
    <w:p>
      <w:r>
        <w:t>A/254/2012 - 15/16 - En l’espèce, compte tenu de la date de la notification de la décision, le 12 décembre 2011, la réduction de la rente prend effet qu’à compter du 1er février 2012 et non le 1er janvier 2012.</w:t>
      </w:r>
    </w:p>
    <w:p>
      <w:r>
        <w:rPr>
          <w:b/>
        </w:rPr>
        <w:t>E. 11</w:t>
      </w:r>
    </w:p>
    <w:p>
      <w:r>
        <w:t>Au vu de ce qui précède, le recours est partiellement admis.</w:t>
      </w:r>
    </w:p>
    <w:p>
      <w:r>
        <w:rPr>
          <w:b/>
        </w:rPr>
        <w:t>E. 12</w:t>
      </w:r>
    </w:p>
    <w:p>
      <w:r>
        <w:t>Le recourant, représenté non par un avocat, mais par sa tutrice du Service des tutelles d’adultes, n’a pas droit à une indemnité à titre de participation à ses frais et dépens (cf. ATF 124 V 345 consid. 4 a contrario).</w:t>
      </w:r>
    </w:p>
    <w:p>
      <w:r>
        <w:rPr>
          <w:b/>
        </w:rPr>
        <w:t>E. 13</w:t>
      </w:r>
    </w:p>
    <w:p>
      <w:r>
        <w:t>L’émolument, fixé à 200 fr, est mis à la charge de l’intimé (art. 69 al. 1bis LAI).</w:t>
      </w:r>
    </w:p>
    <w:p>
      <w:r>
        <w:t>A/254/2012 - 16/16 -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