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ATAS/1081/2016 vom 20. Dezember 2016</w:t>
      </w:r>
    </w:p>
    <w:p>
      <w:r>
        <w:t>GE Cour de justice, 2016-12-20, FR</w:t>
      </w:r>
    </w:p>
    <w:p>
      <w:r>
        <w:rPr>
          <w:b/>
        </w:rPr>
        <w:t xml:space="preserve">Quelle: </w:t>
      </w:r>
      <w:r>
        <w:t>https://mcp.opencaselaw.ch/entscheid/ge_gerichte_ATAS_1081_2016</w:t>
      </w:r>
    </w:p>
    <w:p>
      <w:r>
        <w:t>FR: GE_GERICHTE ATAS/1081/2016 du 20 décembre 2016</w:t>
      </w:r>
    </w:p>
    <w:p>
      <w:r>
        <w:t>IT: GE_GERICHTE ATAS/1081/2016 del 20 dicembre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Les délais en jours ou en mois fixés par la loi ou par l’autorité ne courent pas du 15 juillet au 15 août inclusivement (art. 38 al. 4 let. b LPGA et art. 89C let. b LPA- GE). Interjeté dans la forme et le délai prévus par la loi, le recours est recevable, en vertu des art. 56ss LPGA et 89B LPA.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w:t>
      </w:r>
    </w:p>
    <w:p>
      <w:r>
        <w:t>A/2560/2015 - 17/32 -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arrêt du Tribunal fédéral 9C_406/2012 du 18 septembre 2012 consid. 3.1).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dans ses décisions – qui déterminent l’objet de la contestation –, l’intimée a mis fin à partir du 1er juin 2013 à la prise en charge de l’indemnité journalière et du traitement médical, nié le droit à une allocation pour impotent et révisé dès le 1er juin 2013 la rente d’invalidité allouée à la recourante en l’augmentant de 11% à 23%. Elle a également reporté l’examen du droit à l’indemnité pour atteinte à l’intégrité. Dans son recours, la recourante conteste la stabilisation de son état de santé et le degré de la rente d’invalidité. Elle invoque l’existence d’un lien de causalité entre ses troubles psychiques et l’accident du 12 décembre 2006, respectivement la rechute de juin 2010. En revanche, elle ne conteste ni le refus d’une allocation pour impotent, ni le report de l’examen du droit à une indemnité pour atteinte à l’intégrité. Par conséquent, sont litigieux : la fin du droit à l’indemnité journalière et au traitement médical, plus particulièrement la stabilisation de l’état de santé dès le 1er juin 2013, ainsi que le degré d’invalidité, plus particulièrement la capacité de la recourante à exercer une activité adaptée et son revenu d’invalide.</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A/2560/2015 - 18/32 -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w:t>
      </w:r>
    </w:p>
    <w:p>
      <w:r>
        <w:t>A/2560/2015 - 19/32 -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w:t>
      </w:r>
    </w:p>
    <w:p>
      <w:r>
        <w:rPr>
          <w:b/>
        </w:rPr>
        <w:t>E. 6</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(arrêt du Tribunal fédéral 8C_1023/2008 du 1er décembre 2009 consid. 5.1).</w:t>
      </w:r>
    </w:p>
    <w:p>
      <w:r>
        <w:t>A/2560/2015 - 20/32 -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En cas de rechute ou de séquelle tardive, l'assuré peut à nouveau prétendre la prise en charge du traitement médical et, en cas d'incapacité de travail, le paiement d'indemnités journalières (art. 11 de l’ordonnance sur l'assurance-accidents, du 20 décembre 1982 - OLAA; RS 832.202; pour les titulaires d'une rente de l'assurance-accidents : art. 21 LAA). Selon l’art. 21 LAA, lorsque la rente a été fixée, les prestations pour soins et remboursement de frais (art. 10 à 13 LAA) sont accordées à son bénéficiaire dans les cas énumérés par l’alinéa 1,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w:t>
      </w:r>
    </w:p>
    <w:p>
      <w:r>
        <w:rPr>
          <w:b/>
        </w:rPr>
        <w:t>E. 10</w:t>
      </w:r>
    </w:p>
    <w:p>
      <w:r>
        <w:t>Etant donné que la problématique soumise à la Chambre de céans est particulièrement délicate s’agissant d’apprécier si c’est l’accident de 2006 ou celui</w:t>
      </w:r>
    </w:p>
    <w:p>
      <w:r>
        <w:t>A/2560/2015 - 28/32 - survenu durant l’enfance qui a conduit exclusivement ou partiellement aux troubles actuels, l’intimée ne pouvait trancher la question du lien de causalité naturelle entre les troubles actuels et l’accident du 12 décembre 2006, respectivement la rechute de juin 2010, sans mettre en œuvre une expertise médicale auprès d’un spécialiste des troubles de la main. Par conséquent, elle n’a pas instruit correctement la situation médicale, de sorte que la cause doit lui être renvoyée pour qu’elle mette en œuvre une expertise auprès d’un médecin indépendant selon la procédure de l'art. 44 LPGA.</w:t>
      </w:r>
    </w:p>
    <w:p>
      <w:r>
        <w:rPr>
          <w:b/>
        </w:rPr>
        <w:t>E. 11</w:t>
      </w:r>
    </w:p>
    <w:p>
      <w:r>
        <w:t>a. Il reste encore à déterminer l’étendue de l’instruction complémentaire nécessaire eu égard aux questions litigieuses, notamment la stabilisation de l’état de santé de la recourante, ainsi que le lien de causalité entre les troubles psychiques et l’accident de 2006, respectivement la rechute de juin 2010. Quoi qu’en dise l’intimée, le lien de causalité naturelle entre les troubles psychiques et l’accident de décembre 2006, respectivement la rechute de juin 2010, fait partie de l’objet du litige au vu de la date de leur manifestation. En effet, selon le rapport d’expertise de la PMU, l’incapacité de travail due aux troubles psychiques existe en tout cas depuis novembre 2013 et même d’après les Drs U______ et P______, depuis une tentative de suicide en août 2010, soit bien avant la décision litigieuse de l’intimée.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w:t>
      </w:r>
    </w:p>
    <w:p>
      <w:r>
        <w:t>A/2560/2015 - 29/32 -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w:t>
      </w:r>
    </w:p>
    <w:p>
      <w:r>
        <w:t>A/2560/2015 - 30/32 -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c. En l’espèce, dans son écriture du 14 avril 2016, l’intimée considère comme douteux le lien de causalité naturelle entre les troubles psychiques et l’accident de 2006, sans toutefois baser ses doutes sur un rapport médical examinant un tel lien de causalité. Par conséquent, il s’agit d’une simple allégation qui n’est pas établie dans les faits puisqu’aucun médecin ne s’est prononcé sur cette question. Au vu de la jurisprudence en matière de troubles psychiques additionnels à une atteinte à la santé physique, l’intimée est également d’avis qu’il n’existe aucun lien de causalité adéquate dès lors que l’accident de 2006 doit être classé dans la catégorie des accidents de gravité moyenne à la limite des accidents de peu de gravité et que les critères déterminants ne sont majoritairement pas remplis ou pas remplis avec une intensité particulière. Au vu du déroulement de l'accident - au cours duquel la recourante s'est coincée le poignet dans une encolleuse - et de la casuistique tirée de la jurisprudence en matière d'accidents ayant occasionné des lésions de la main (pour une vue d'ensemble de la casuistique, voir les arrêts du Tribunal fédéral 8C_175/2010 du</w:t>
      </w:r>
    </w:p>
    <w:p>
      <w:r>
        <w:rPr>
          <w:b/>
        </w:rPr>
        <w:t>E. 14</w:t>
      </w:r>
    </w:p>
    <w:p>
      <w:r>
        <w:t>février 2011 consid. 4.3 et 8C_77/2009 du 4 juin 2009 consid. 4.1.2), il y a lieu de ranger l'accident du 12 décembre 2006 dans la catégorie des accidents de gravité moyenne, sans qu’il soit nécessaire à ce stade de trancher s’il est à la limite inférieure des accidents de gravité moyenne ou s’il s’agit d’un accident de gravité moyenne « stricto sensu » (cf. arrêt du Tribunal fédéral 8C_1006/2010 du 31 août 2011 consid. 2.3). En effet, quoi qu’il en soit, la recourante souffre de douleurs à la main droite persistantes et par moments d’une grande intensité. Elle a connu de difficultés au cours de la guérison qui ont nécessité une deuxième intervention chirurgicale le 11 juillet 2012 après celle du 19 octobre 2010. Son incapacité de travail est de 100% depuis le 31 mai 2010 sans qu’il soit possible - en l’absence de rapports médicaux probants - de savoir quel en est le degré et la durée dus aux lésions physiques. Le traitement médical a duré environ deux fois deux ans. Par conséquent, au vu du cumul de ces critères et de l’intensité de certains d’entre eux, il n’est pas possible comme le soutient l’intimée de renoncer à examiner le lien de</w:t>
      </w:r>
    </w:p>
    <w:p>
      <w:r>
        <w:t>A/2560/2015 - 31/32 - causalité naturelle entre les troubles psychiques et l’accident de 2006, respectivement la rechute de juin 2010. Aussi, il convient également de mettre en œuvre une expertise psychiatrique. S’agissant de la stabilisation de l’état de santé de la recourante, il ressort de l’expertise de la PMU que la poursuite de l’ergothérapie est nécessaire afin que la recourante puisse acquérir la latéralité gauche, sans qu’on ne sache si ladite ergothérapie est en lien de causalité ou non avec la rechute de juin 2010. Quoi qu’en dise l’intimée, des séances d’ergothérapie ayant pour but de contribuer à l’augmentation ou au rétablissement de la capacité de travail sont susceptibles d’apporter une amélioration sensible de l’état de santé de la recourante, de sorte qu’il n’est à ce stade pas possible de conclure à une stabilisation dudit état de santé en date du 1er juin 2013. d. En définitive, l’instruction médicale complémentaire devra porter sur le lien de causalité naturelle entre les troubles actuels de la main droite et l’accident du 12 décembre 2006, respectivement la rechute de juin 2010, sur le lien de causalité naturelle entre les troubles psychiques et l’accident de décembre 2006, respectivement la rechute de juin 2010, sur la date de stabilisation de l’état de santé de la recourante en lien avec la rechute de juin 2010, sur le degré de la capacité de travail de la recourante dans une activité monomanuelle et son rendement en lien avec la rechute de juin 2010, ainsi que sur la date à partir de laquelle une telle activité est raisonnablement exigible. A cet effet, l’intimée devra mettre en œuvre une expertise bi-disciplinaire auprès d’un chirurgien-orthopédiste spécialiste de la main et d’un psychiatre qui contiendra des conclusions consensuelles. Après quoi, elle devra réexaminer le droit aux prestations. 12.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A ce stade de la procédure, il n’est pas établi que les plaintes actuelles de la recourante sont en lien de causalité avec l’accident du 12 décembre 2006, respectivement avec la rechute de juin 2010. Par conséquent, il n’est pas possible de faire droit aux conclusions de la recourante quant à la poursuite de la prise en charge par l’intimée des frais de traitement et de l’indemnité journalière. 13. Au vu de ce qui précède, le recours est partiellement admis et les décisions des 13 février 2015 et 25 juin 2015 annulées au sens des considérants. La recourante étant représentée par un avocat et obtenant gain de cause,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A/2560/2015 - 32/32 -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