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ATAS/1080/2014 vom 8. Oktober 2014</w:t>
      </w:r>
    </w:p>
    <w:p>
      <w:r>
        <w:t>GE Cour de justice, 2014-10-08, FR</w:t>
      </w:r>
    </w:p>
    <w:p>
      <w:r>
        <w:rPr>
          <w:b/>
        </w:rPr>
        <w:t xml:space="preserve">Quelle: </w:t>
      </w:r>
      <w:r>
        <w:t>https://mcp.opencaselaw.ch/entscheid/ge_gerichte_ATAS_1080_2014</w:t>
      </w:r>
    </w:p>
    <w:p>
      <w:r>
        <w:t>FR: GE_GERICHTE ATAS/1080/2014 du 8 octobre 2014</w:t>
      </w:r>
    </w:p>
    <w:p>
      <w:r>
        <w:t>IT: GE_GERICHTE ATAS/1080/2014 del 8 ottobre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force le 1er janvier 2003, est applicable à la présente procédure.</w:t>
      </w:r>
    </w:p>
    <w:p>
      <w:r>
        <w:rPr>
          <w:b/>
        </w:rPr>
        <w:t>E. 3</w:t>
      </w:r>
    </w:p>
    <w:p>
      <w:r>
        <w:t>Interjeté dans la forme et le délai prévus par la loi, le recours est recevable (art. 56ss LPGA).</w:t>
      </w:r>
    </w:p>
    <w:p>
      <w:r>
        <w:rPr>
          <w:b/>
        </w:rPr>
        <w:t>E. 4</w:t>
      </w:r>
    </w:p>
    <w:p>
      <w:r>
        <w:t>Le recours porte sur le droit de la recourante à des prestations d’invalidité, en particulier des mesures d’ordre professionnel. En revanche, l’éventuel lien de causalité entre les troubles actuels de la recourante et l’accident de 2002 est sans pertinence en matière d’assurance-invalidité, si bien qu’il n’a pas à être examiné dans la présente procédure.</w:t>
      </w:r>
    </w:p>
    <w:p>
      <w:r>
        <w:rPr>
          <w:b/>
        </w:rPr>
        <w:t>E. 5</w:t>
      </w:r>
    </w:p>
    <w:p>
      <w:r>
        <w:t>Il sied en préambule de rappeler que l'assurance-invalidité et l'assurance-chômage ne sont pas des branches d'assurance complémentaires, ce qui aurait pour conséquence qu'un assuré exclu de l'une d'elles pourrait dans tous les cas toucher les prestations de l'autre. Les décisions de l'assurance-invalidité, respectivement de l'assurance-chômage n'ont aucun effet obligatoire pour l'autre assurance (arrêt du Tribunal fédéral 9C_131/2010 du 6 octobre 2010 consid. 6). Partant, l’admission de la pleine aptitude au placement au sens de l’art. 15 de la loi sur l'assurance- chômage obligatoire et l'indemnité en cas d'insolvabilité (LACI ; RS 837.0) n’a pas nécessairement pour conséquence qu’une capacité de travail complète doive être reconnue à la recourante.</w:t>
      </w:r>
    </w:p>
    <w:p>
      <w:r>
        <w:rPr>
          <w:b/>
        </w:rPr>
        <w:t>E. 6</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w:t>
      </w:r>
    </w:p>
    <w:p>
      <w:r>
        <w:t>A/2664/2013 - 13/17 -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Zurich 1997, p. 8). L’art. 28 al. 2 LAI dispose que l’assuré a droit à une rente entière s’il est invalide à 70% au moins, à trois quarts de rente s’il est invalide à 60% au moins, à une demi- rente s’il est invalide à 50% au moins ou à un quart de rente s’il est invalide à 40% au moins.</w:t>
      </w:r>
    </w:p>
    <w:p>
      <w:r>
        <w:rPr>
          <w:b/>
        </w:rPr>
        <w:t>E. 7</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w:t>
      </w:r>
    </w:p>
    <w:p>
      <w:r>
        <w:t>A/2664/2013 - 14/17 -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(arrêt du Tribunal fédéral des assurances I 170/06 du 16 février 2007 consid. 3.2 et 3.4).</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w:t>
      </w:r>
    </w:p>
    <w:p>
      <w:r>
        <w:t>A/2664/2013 - 15/17 -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Il convient en premier lieu de déterminer si l’expertise réalisée par le Dr J_____ a valeur probante. Au plan formel, elle correspond pour l’essentiel aux critères dégagés par le Tribunal fédéral. Elle contient en effet une anamnèse, un résumé du dossier médical, les constatations ressortant de l’examen médical ainsi que des diagnostics et des conclusions sur la capacité de travail. La Cour de céans a ainsi admis que cette expertise avait valeur probante, se référant cependant avant tout aux explications de l’expert sur la causalité naturelle et adéquate de la recourante avec l’événement du 28 mars 2002. Si cette expertise permettait de sceller le sort des prétentions de la recourante à l’encontre de l’assurance-accidents, il faut néanmoins souligner que le Dr J_____ a écarté tout diagnostic en lien avec les douleurs dans le membre inférieur gauche. L’expert se borne sur ce point à noter que les douleurs ne sont pas accompagnées de signes objectifs et n’ont aucune explication médicale. Or, aucun examen complémentaire permettant de déterminer l’origine de ces douleurs n’a été réalisé dans le cadre de l’expertise. Si l’expert, mandaté par l’assurance-accidents, pouvait dans ce contexte se contenter d’un examen superficiel dès lors que ces plaintes n’étaient selon toute vraisemblance pas en lien avec l’événement survenu en 2002, il n’en va pas de même de l’intimé. Ce dernier aurait dû compléter l’instruction s’agissant de cette atteinte, avant d’évaluer cas échéant ses répercussions sur la capacité de travail et de gain de la recourante. On ajoutera d’ailleurs qu’une dégénérescence discale aurait été mise en évidence selon les indications données par le Dr N_____, ce qui pourrait expliquer les douleurs de la recourante et entraîner des limitations fonctionnelles.</w:t>
      </w:r>
    </w:p>
    <w:p>
      <w:r>
        <w:t>A/2664/2013 - 16/17 - Eu égard à cet élément, l’expertise du Dr J_____ est insuffisante pour nier le droit à des prestations d’invalidité. Quant aux rapports émanant des autres médecins, ils ne revêtent pas non plus une pleine valeur probante dès lors qu’ils ne satisfont pas formellement aux réquisits jurisprudentiels rappelés plus haut. S’agissant en particulier de l’avis du Dr K_____ du 23 avril 2013, on notera qu’il s’écarte de l’estimation de la capacité de travail selon l’expert, puisqu’il admet une reprise non pas le 12 janvier mais le 5 mars 2012, conformément aux certificats du Dr F______. Cela étant, le critère sur lequel il se fonde, soit la stabilisation de l’état de santé à cette date, est pertinent en assurance-accident puisqu’il marque la fin du droit aux indemnités journalières et cas échéant le passage à une rente, conformément à l’art. 19 al. 1 de la loi sur l’assurance-accidents (LAA ; RS 832.20) (ATF 134 V 109 consid. 4.3). Il n’implique cependant pas nécessairement un rétablissement de la capacité de travail ou de gain et n’a ainsi pas de portée propre dans l’assurance-invalidité. Selon la jurisprudence, lorsque le juge constate qu’une expertise est nécessaire, il doit en principe la mettre en œuvre lui-même. Un renvoi à l’administration reste cependant possible lorsqu’elle est justifiée par l’examen d’un point qui n’a pas du tout été investigué (ATF 137 V 210 consid. 4.4.1.3 et 4.4.1.4). Cette solution s’impose en l’espèce, l’intimé n’ayant procédé à aucune mesure d’instruction sur les douleurs lombaires et irradiant dans le membre inférieur gauche que la recourante présente. La cause lui sera ainsi renvoyée pour nouvel examen médical. Dans ce contexte, l’instruction sur les répercussions de l’exérèse du névrome sur la capacité de travail et de gain de la recourante devra cas échéant également être complétée en tenant compte de l’intervention préconisée par le Dr N_____, si elle a eu lieu.</w:t>
      </w:r>
    </w:p>
    <w:p>
      <w:r>
        <w:rPr>
          <w:b/>
        </w:rPr>
        <w:t>E. 10</w:t>
      </w:r>
    </w:p>
    <w:p>
      <w:r>
        <w:t>Eu égard à ce qui précède, le recours est partiellement admis. La recourante a droit à des dépens, qu’il convient de fixer à CHF 1'500.- La procédure en matière d'assurance-invalidité n'étant pas gratuite (art. 69 al. 1bis LAI), l’émolument de CHF 500.- sera mis à la charge de l'intimé.</w:t>
      </w:r>
    </w:p>
    <w:p>
      <w:r>
        <w:t>A/2664/2013 - 17/17 -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