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ATAS/107/2018 vom 8. Februar 2018</w:t>
      </w:r>
    </w:p>
    <w:p>
      <w:r>
        <w:t>GE Cour de justice, 2018-02-08, FR</w:t>
      </w:r>
    </w:p>
    <w:p>
      <w:r>
        <w:rPr>
          <w:b/>
        </w:rPr>
        <w:t xml:space="preserve">Quelle: </w:t>
      </w:r>
      <w:r>
        <w:t>https://mcp.opencaselaw.ch/entscheid/ge_gerichte_ATAS_107_2018</w:t>
      </w:r>
    </w:p>
    <w:p>
      <w:r>
        <w:t>FR: GE_GERICHTE ATAS/107/2018 du 8 février 2018</w:t>
      </w:r>
    </w:p>
    <w:p>
      <w:r>
        <w:t>IT: GE_GERICHTE ATAS/107/2018 del 8 febbraio 2018</w:t>
      </w:r>
    </w:p>
    <w:p>
      <w:pPr>
        <w:pStyle w:val="Heading2"/>
      </w:pPr>
      <w:r>
        <w:t>Erwägungen</w:t>
      </w:r>
    </w:p>
    <w:p>
      <w:r>
        <w:rPr>
          <w:b/>
        </w:rPr>
        <w:t>E. 1</w:t>
      </w:r>
    </w:p>
    <w:p>
      <w:r>
        <w:t>a. 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L’assurance en cause dans le litige déféré à la chambre de céans est une assurance perte de gain en cas de maladie soumise à la LCA, comme cela ressort de la police d’assurance conclue par B_____ SA. La compétence à raison de la matière de la chambre de céans pour juger du cas d’espèce est ainsi établie. b. S’agissant de la compétence à raison du lieu, l’art. 33 des conditions générales de l’assurance couverture collective d’indemnité journalière maladie selon la LCA, édition 2011 (ci-après : les CGA), prévoit qu’en cas de contestations, le preneur d'assurance ou l'ayant droit peut choisir soit les tribunaux de son domicile suisse, soit ceux du siège de l'assureur. Une telle élection de for est admissible en vertu de l’art. 17 CPC, auquel renvoie implicitement l’art. 46a LCA. c. Le demandeur étant domicilié dans le canton de Genève, la chambre de céans est compétente à raison du lieu pour statuer sur la demande. d. Pour le reste, la demande respecte les conditions formelles prescrites par les art. 130 et 244 CPC ainsi que les autres conditions de recevabilité prévues par l’art. 59 CPC, de sorte qu’elle est recevable.</w:t>
      </w:r>
    </w:p>
    <w:p>
      <w:r>
        <w:rPr>
          <w:b/>
        </w:rPr>
        <w:t>E. 2</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Tel est le cas à Genève (art. 134 al. 1 let. c LOJ ; ATAS/577/2011 du 31 mai 2011).</w:t>
      </w:r>
    </w:p>
    <w:p>
      <w:r>
        <w:rPr>
          <w:b/>
        </w:rPr>
        <w:t>E. 3</w:t>
      </w:r>
    </w:p>
    <w:p>
      <w:r>
        <w:t>La procédure simplifiée s'applique aux litiges portant sur des assurances complémentaires à l’assurance-maladie sociale au sens de la LAMal et la chambre de céans établit les faits d'office (art. 243 al. 2 let. f et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w:t>
      </w:r>
    </w:p>
    <w:p>
      <w:r>
        <w:t>A/3547/2016 - 9/19 -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 ATF 130 III 321 consid. 3.1 ; ATF 129 III 18 consid. 2.6 ; ATF 127 III 519 consid. 2a). L'art. 8 CC ne dicte pas comment le juge peut forger sa conviction (ATF 122 III 219 consid. 3c ; ATF 119 III 60 consid. 2c ;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Toujours sous l’angle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w:t>
      </w:r>
    </w:p>
    <w:p>
      <w:r>
        <w:rPr>
          <w:b/>
        </w:rPr>
        <w:t>E. 4</w:t>
      </w:r>
    </w:p>
    <w:p>
      <w:r>
        <w:t>Conformément à la norme impérative de l'art. 71 al. 1 LCA (art. 97 al. 1 LCA), relative au cumul des prestations d'assurances de dommage, en cas de double</w:t>
      </w:r>
    </w:p>
    <w:p>
      <w:r>
        <w:t>A/3547/2016 - 10/19 - assurance au sens de l'art. 53 LCA, chaque assureur répond du dommage dans la proportion qui existe entre la somme assurée par lui et le montant total des sommes assurées. Cette disposition concrétise, en matière de contrat d'assurance contre les dommages, le principe indemnitaire, qui a pour corollaire la prohibition de la surindemnisation (arrêt du Tribunal fédéral des assurances B 66/00 du 28 juin 2002 consid. 5b et les références). Selon l'art. 53 LCA, il y a double assurance lorsque le même intérêt est assuré contre le même risque et pour le même temps de telle manière que les sommes assurées réunies dépassent la valeur d'assurance.</w:t>
      </w:r>
    </w:p>
    <w:p>
      <w:r>
        <w:rPr>
          <w:b/>
        </w:rPr>
        <w:t>E. 5</w:t>
      </w:r>
    </w:p>
    <w:p>
      <w:r>
        <w:t>La LCA ne comporte pas de dispositions particulières à l'assurance d'indemnités journalières en cas de maladie ou d'accident, de sorte qu'en principe, le droit aux prestations se détermine exclusivement d'après la convention des parties (ATF 133 III 185 consid. 2). Les principes généraux de l'interprétation des contrats s'appliquent au contrat d'assurance. En effet, l'art. 100 LCA renvoie au droit des obligations, et partant, au code des obligations (CO ; RS 220). Lorsqu'il s'agit de déterminer le contenu d'un contrat d'assurance et des conditions générales qui en font partie intégrante, le juge doit donc, comme pour tout autre contrat, recourir en premier lieu à l'interprétation dite subjective, c'est-à-dire rechercher la "réelle et commune intention des parties", le cas échéant empiriquement, sur la base d'indices (art. 18 al. 1 CO) (arrêt du Tribunal fédéral 5C.208/2006 du 8 janvier 2007 consid. 2.1).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 ATF 132 III 268 consid. 2.3.2). Ce faisant, le juge doit partir de la lettre du contrat et tenir compte des circonstances qui ont entouré sa conclusion (arrêt du Tribunal fédéral 5C.134/2002 du 17 septembre 2002 consid. 3.1). On s'en tiendra à l'usage général et quotidien de la langue, sous réserve des acceptions techniques propres au risque envisagé (ATF 118 II 342 consid. 1a). En outre, il est exclu d'interpréter de manière isolée les divers éléments du contrat ; chaque clause contractuelle doit être interprétée à partir du contrat dans son ensemble. Partant, lorsque les parties, dans le contrat d'assurance ou dans les conditions générales d'assurance qui en font partie intégrante, ont convenu de la définition à donner à un terme, c'est cette définition conventionnelle qui fait foi (arrêt du Tribunal fédéral non publié 5C.44/2004 du 21 mai 2004 consid. 2.1).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135 III 410 consid. 3.2). La jurisprudence a nuancé le principe selon lequel il y aurait lieu de recourir à des règles d'interprétation uniquement si les termes de l'accord passé</w:t>
      </w:r>
    </w:p>
    <w:p>
      <w:r>
        <w:t>A/3547/2016 - 11/19 - entre parties laissent planer un doute ou sont peu clairs. On ne peut ériger en principe qu'en présence d'un "texte clair", on doit exclure d'emblée le recours à d'autres moyens d'interprétation. Il ressort de l'art. 18 al. 1 CO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 Finalement, et de façon subsidiaire, lorsqu'il subsiste un doute sur leur sens, les dispositions exclusivement rédigées par l'assureur, ainsi les conditions générales pré-formulées, sont à interpréter en défaveur de leur auteur, conformément à la règle des clauses ambiguës ("in dubio contra stipulatorem" ; "Unklarheitsregel") (ATF 122 III 118 consid. 2a ; arrêt du Tribunal fédéral 5C.208/2006 du</w:t>
      </w:r>
    </w:p>
    <w:p>
      <w:r>
        <w:rPr>
          <w:b/>
        </w:rPr>
        <w:t>E. 8</w:t>
      </w:r>
    </w:p>
    <w:p>
      <w:r>
        <w:t>Enfin, l’art. 90 CPC stipule que le demandeur peut réunir dans la même action plusieurs prétentions contre le même défendeur pour autant que le même tribunal soit compétent à raison de la matière et que les prétentions soient soumises à la même procédure.</w:t>
      </w:r>
    </w:p>
    <w:p>
      <w:r>
        <w:rPr>
          <w:b/>
        </w:rPr>
        <w:t>E. 9</w:t>
      </w:r>
    </w:p>
    <w:p>
      <w:r>
        <w:t>En l’espèce, la défenderesse a versé au demandeur, à l’issue du délai d’attente d’un jour, 628 indemnités journalières au total, couvrant les périodes du 21 mars 2014 au</w:t>
      </w:r>
    </w:p>
    <w:p>
      <w:r>
        <w:rPr>
          <w:b/>
        </w:rPr>
        <w:t>E. 12</w:t>
      </w:r>
    </w:p>
    <w:p>
      <w:r>
        <w:t>avril 2015, puis du 13 juillet 2015 au 8 mars 2016. Se fondant sur les dispositions de ses conditions générales d’assurance prohibant la surindemnisation (art. 28 al. 10 et 29 al. 1 CGA), elle a refusé de prester pendant 91 jours du</w:t>
      </w:r>
    </w:p>
    <w:p>
      <w:r>
        <w:rPr>
          <w:b/>
        </w:rPr>
        <w:t>E. 13</w:t>
      </w:r>
    </w:p>
    <w:p>
      <w:r>
        <w:t>a. Selon l'art. 62 al. 1 et 2 CO, celui qui, sans cause légitime, s'est enrichi aux dépens d'autrui est tenu à restitution. La restitution est due, en particulier, de ce qui a été reçu sans cause valable, en vertu d'une cause qui ne s'est pas réalisée ou d'une cause qui a cessé d'exister. Aux termes de l'art. 63 al. 1 CO, celui qui a payé volontairement ce qu'il ne devait pas ne peut le répéter s'il ne prouve qu'il a payé en croyant, par erreur, qu'il devait ce qu'il a payé. L'action pour cause d'enrichissement illégitime se prescrit par un an à compter du jour où la partie lésée a eu connaissance de son droit de répétition, et, dans tous les cas, par dix ans dès la naissance de ce droit (art. 67 al. 1 CO). b. Selon l'art. 23 CO, le contrat n'oblige pas celle des parties qui, au moment de le conclure, était dans une erreur essentielle. Est une erreur essentielle, notamment, l'erreur dite de base telle que l'entend l'art. 24 al. 1 ch. 4 CO. Un contractant peut invoquer cette erreur s'il s'est trompé sur un fait déterminé qu'il considérait comme</w:t>
      </w:r>
    </w:p>
    <w:p>
      <w:r>
        <w:t>A/3547/2016 - 16/19 - un élément nécessaire du contrat et dont l'autre partie a reconnu ou pouvait reconnaître qu'il avait un tel caractère (ATF 127 V 301 consid. 3c). Ce fait doit avoir exercé une influence décisive sur sa volonté de conclure, de sorte que, sans cette circonstance, il n'aurait pas passé le contrat ou à des conditions différentes. Un contractant ne peut invoquer un fait déterminé comme condition sine qua non lorsqu'il ne s'est pas préoccupé, au moment de conclure, d'éclaircir une question qui se posait manifestement en rapport avec ce fait (arrêt du Tribunal fédéral 4A_408/2007 du 7 février 2008 consid. 3.2). En effet, si cette partie ne se préoccupe pas d'élucider cette question, le cocontractant peut en déduire qu'elle n'est pas importante pour la partie qui ne l'a pas soulevée (ATF 129 III 363 consid. 5.3, in SJ 2003 I p. 321). Par ailleurs, il faut encore que l'erreur concerne un fait qu'il est objectivement justifié de considérer comme un élément essentiel (ATF 127 V 301 consid. 3c). Les circonstances existantes au moment de la conclusion du contrat sont décisives pour déterminer s'il y a erreur essentielle (ATF 132 III 737 consid. 1.3). Il incombe à celui qui invoque l'erreur d'apporter la preuve que ses représentations internes étaient erronées (arrêt du Tribunal fédéral 4A_217/2009 consid. 2.4). L'erreur peut consister dans la méconnaissance d'une situation juridique ; l'erreur de droit n'est toutefois pas essentielle lorsqu'elle porte seulement sur les effets juridiques du contrat conclu (ATF 118 II 58 consid. 3b ; ATF 118 II 300 consid. 2c ; ATF 127 V 301 consid. 3c). c. Lorsque ces conditions sont remplies, la victime doit informer son cocontractant qu’elle ne se considère pas liée (art. 31 al. 1 CO) dans un délai d’une année à compter de la découverte de l’erreur, faute de quoi le contrat est tenu pour ratifié. Le délai court dès que l'erreur a été découverte (art. 31 al. 2 CO). L'art. 31 CO n'instaure pas un délai de prescription, mais un délai de péremption, qui ne peut être ni suspendu ni interrompu en application des art. 134 ss CO (ATF 114 II 131 consid. 2b p. 141 ; Ingeborg SCHWENZER, in Commentaire bâlois, n° 11 ad art. 31 CO). d. Selon l’art. 336c al. 1 let. b CO, l'employeur ne peut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 L’al. 2 de cette disposition prescrit que le congé donné pendant l’une de ces périodes est nul. C’est le moment de la réception du congé qui est déterminant pour établir si le congé tombe pendant une période de protection (ATF 113 II 259, in JdT 1988 I 175 ; Rémy WYLER/Boris HEINZER, Droit du travail, 3ème éd., p. 691). Aux termes de l’art. 21 al. 1 de la Convention nationale du secteur principal de la construction en Suisse (ci-après : CN), la résiliation du contrat de travail par l’employeur après l’expiration du temps d’essai est exclue aussi longtemps que</w:t>
      </w:r>
    </w:p>
    <w:p>
      <w:r>
        <w:t>A/3547/2016 - 17/19 - l’assurance-accidents obligatoire ou l’assurance-maladie versent des indemnités journalières au travailleur. e. Selon l’art. 3 let. a des CGA de l’assurance collective d’indemnité journalière, la couverture d’assurance ainsi que le droit aux prestations cessent lorsque l’assuré cesse d’appartenir au cercle des assurés.</w:t>
      </w:r>
    </w:p>
    <w:p>
      <w:r>
        <w:rPr>
          <w:b/>
        </w:rPr>
        <w:t>E. 14</w:t>
      </w:r>
    </w:p>
    <w:p>
      <w:r>
        <w:t>a. En l’occurrence, il est vrai qu’au moment où le demandeur s’est vu notifier son congé, à la fin du mois de mars 2015, la défenderesse lui versait encore des indemnités journalières, de sorte que la question de la nullité du congé pouvait se poser, tout comme celle de la fin des rapports de travail (art. 21 al. 1 CN, en relation avec l’art. 336 c al. 1 et 2 CO). Par l’intermédiaire de son avocat, le demandeur avait d’ailleurs précisément informé son ancien employeur et la défenderesse, par courriers du 1er avril 2015, qu’il contestait qu’il soit mis fin à ses rapports de travail et aux indemnités journalières LCA avec effet au 30 juin 2015. Son comportement démontre qu’il nourrissait à tout le moins des doutes sur la date à laquelle les rapports de travail pouvaient prendre fin, compte tenu notamment du versement des indemnités journalières. En s'abstenant de clarifier la question avant la conclusion du contrat, le demandeur a démontré que cela ne constituait pas pour lui un point subjectivement essentiel, ce qui exclut toute invalidation du contrat pour cause d’erreur. D’ailleurs, le demandeur n’allègue jamais dans ses écritures qu’il se serait abstenu de contracter s’il avait eu connaissance, à l’époque, de la disposition de la convention collective qu’il invoque. b. De manière quelque peu confuse, le demandeur fait encore valoir que c’est le paiement de la prime qu’il aurait effectué « par erreur », puis – lorsqu’il cherche à démontrer avoir agi en temps utile – qu’il n’aurait pas réalisé avoir conclu une couverture perte de gain individuelle avant le mois d’avril 2016. Si l’erreur dont se prévaut le demandeur se rapporte au paiement de la prime, alors elle touche aux effets juridiques du contrat individuel conclu avec la défenderesse. Il s'agit là d'une simple erreur sur les motifs au sens de l'art. 24 al. 2 CO, qui n'ouvre pas le droit d'invalider le contrat litigieux (arrêt du Tribunal fédéral 4A_120/2008 du 19 mai 2008 consid. 4.2). Par ailleurs, le demandeur ne saurait raisonnablement prétendre avoir ignoré la conclusion d’une couverture perte de gain individuelle après avoir été invité par la défenderesse, le 6 août 2015, à « maintenir son affiliation […] en qualité de membre individuel », puis avoir retourné le formulaire d’adhésion correspondant. On peine au demeurant à concevoir comment le demandeur aurait pu ignorer la conclusion dudit contrat tout en versant les primes s’y rapportant. c. En tout état de cause, il faut rappeler qu’une invalidation du contrat pour cause d'erreur est soumise au délai de péremption légal d’un an. Or, à supposer que la demande du 18 octobre 2016 puisse être interprétée dans le sens d’une déclaration d’invalidation, elle serait quoi qu’il en soit tardive, car le demandeur avait de toute évidence déjà connaissance, au moment de la conclusion de son contrat individuel,</w:t>
      </w:r>
    </w:p>
    <w:p>
      <w:r>
        <w:t>A/3547/2016 - 18/19 - en août 2015, des éléments qu’il tente désormais d’invoquer pour le remettre en cause, en particulier du fait qu’il percevait encore des indemnités journalières LCA lorsqu’il a reçu son congé. En définitive, le demandeur échoue à démontrer l’existence d’une erreur essentielle et est en toute hypothèse forclos à s’en prévaloir, de sorte qu’il ne peut prétendre au remboursement des primes d’assurance qu’il a payées dès le 1er juillet 2015.</w:t>
      </w:r>
    </w:p>
    <w:p>
      <w:r>
        <w:rPr>
          <w:b/>
        </w:rPr>
        <w:t>E. 15</w:t>
      </w:r>
    </w:p>
    <w:p>
      <w:r>
        <w:t>Mal fondée, la demande est rejetée.</w:t>
      </w:r>
    </w:p>
    <w:p>
      <w:r>
        <w:rPr>
          <w:b/>
        </w:rPr>
        <w:t>E. 16</w:t>
      </w:r>
    </w:p>
    <w:p>
      <w:r>
        <w:t>Selon l'art. 22 al. 3 let. b de la loi d'application du code civil suisse et d’autres lois fédérales en matière civile du 11 octobre 2012 [LaCC - E 1 05], il n’est pas prélevé de frais judiciaires, ni alloué de dépens à la charge de l’assuré dans les causes portant sur les assurances complémentaires à l’assurance-maladie obligatoire.</w:t>
      </w:r>
    </w:p>
    <w:p>
      <w:r>
        <w:t>A/3547/2016 - 19/19 -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