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ATAS/107/2016 vom 10. Februar 2016</w:t>
      </w:r>
    </w:p>
    <w:p>
      <w:r>
        <w:t>GE Cour de justice, 2016-02-10, FR</w:t>
      </w:r>
    </w:p>
    <w:p>
      <w:r>
        <w:rPr>
          <w:b/>
        </w:rPr>
        <w:t xml:space="preserve">Quelle: </w:t>
      </w:r>
      <w:r>
        <w:t>https://mcp.opencaselaw.ch/entscheid/ge_gerichte_ATAS_107_2016</w:t>
      </w:r>
    </w:p>
    <w:p>
      <w:r>
        <w:t>FR: GE_GERICHTE ATAS/107/2016 du 10 février 2016</w:t>
      </w:r>
    </w:p>
    <w:p>
      <w:r>
        <w:t>IT: GE_GERICHTE ATAS/107/2016 del 10 febbraio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w:t>
      </w:r>
    </w:p>
    <w:p>
      <w:r>
        <w:rPr>
          <w:b/>
        </w:rPr>
        <w:t>E. 3</w:t>
      </w:r>
    </w:p>
    <w:p>
      <w:r>
        <w:t>La LPC a connu des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Par conséquent, le droit aux prestations complémentaires de la recourante se détermine selon le nouveau droit (ATF 132 V 215 consid. 3.1.1; ATF 127 V 466 consid. 1; arrêt du Tribunal fédéral 9C_935/2010 du 18 février 2011 consid. 2).</w:t>
      </w:r>
    </w:p>
    <w:p>
      <w:r>
        <w:rPr>
          <w:b/>
        </w:rPr>
        <w:t>E. 4</w:t>
      </w:r>
    </w:p>
    <w:p>
      <w:r>
        <w:t>Le délai de recours est de 30 jours (art. 62 al. 1 de la de loi sur la procédure administrative du 12 septembre 1985 [LPA-GE - E 5 10]; art. 43 LPCC). Interjeté dans la forme et le délai prévus par la loi, le recours est en recevable (art. 62 ss LPA).</w:t>
      </w:r>
    </w:p>
    <w:p>
      <w:r>
        <w:t>A/2244/2015 - 5/11 -</w:t>
      </w:r>
    </w:p>
    <w:p>
      <w:r>
        <w:rPr>
          <w:b/>
        </w:rPr>
        <w:t>E. 5</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En l’espèce, par décisions du 6 octobre 2014, l’intimé a demandé à la recourante la restitution de CHF 3'180.-. Dans sa décision sur opposition du 10 juin 2015, il explique que ce montant correspond à l’augmentation mensuelle de CHF 106.- de la rente d’invalidité de la recourante durant trente mois à la suite de son divorce, soit du 1er mai 2012 au 31 octobre 2014. Dans son recours, la recourante invoque sa situation financière difficile ainsi que sa bonne foi et conclut à la remise de son obligation de restituer.</w:t>
      </w:r>
    </w:p>
    <w:p>
      <w:r>
        <w:rPr>
          <w:b/>
        </w:rPr>
        <w:t>E. 6</w:t>
      </w:r>
    </w:p>
    <w:p>
      <w:r>
        <w:t>Selon l'art. 25 al. 1 1ère phrase LPGA, en relation avec l'art. 2 al. 1 let. a de l'Ordonnance sur la partie générale du droit des assurances sociales du</w:t>
      </w:r>
    </w:p>
    <w:p>
      <w:r>
        <w:rPr>
          <w:b/>
        </w:rPr>
        <w:t>E. 11</w:t>
      </w:r>
    </w:p>
    <w:p>
      <w:r>
        <w:t>Pour le calcul de la prestation complémentaire fédérale annuelle, sont pris en compte en règle générale en vertu de l’art. 23 OPC-AVS/AI,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w:t>
      </w:r>
    </w:p>
    <w:p>
      <w:r>
        <w:t>A/2244/2015 - 8/11 - complémentaire annuelle doit toujours être calculée compte tenu des rentes, pensions et autres prestations périodiques en cours (al. 3). Cela étant, selon l’art. 25 al. 1 OPC-AVS/AI, la prestation complémentaire annuelle doit être augmentée, réduite ou supprimée : lors de chaque changement survenant au sein d’une communauté de personnes comprises dans le calcul de la prestation complémentaire annuelle (let. a); lors de chaque modification de la rente de l’assurance-vieillesse et survivants ou de l’assurance-invalidité (let. b). En vertu de l’art. 25 al. 2 OPC-AVS/AI, la nouvelle décision doit porter effet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(let. a).</w:t>
      </w:r>
    </w:p>
    <w:p>
      <w:r>
        <w:rPr>
          <w:b/>
        </w:rPr>
        <w:t>E. 12</w:t>
      </w:r>
    </w:p>
    <w:p>
      <w:r>
        <w:t>En l’espèce, selon les attestations fiscales du 28 octobre 2014 émises par la caisse de compensation, la recourante a perçu une rente mensuelle de l’assurance- invalidité de CHF 736.- pour l’année 2012 à partir du 1er mai (5’888 : 8), mois de son divorce, alors que selon sa décision du 20 mars 2012, l’intimé lui a versé des prestations complémentaires fédérales en tenant compte d’une rente de CHF 630.- (7’560 : 12). En 2013 et 2014, la recourante a bénéficié pour chaque année d’une rente mensuelle de CHF 742.-, respectivement annuelle de CHF 8'904.-, alors que l’intimé a pris en considération, dans ses décisions des 17 décembre 2012 et</w:t>
      </w:r>
    </w:p>
    <w:p>
      <w:r>
        <w:rPr>
          <w:b/>
        </w:rPr>
        <w:t>E. 13</w:t>
      </w:r>
    </w:p>
    <w:p>
      <w:r>
        <w:t>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Contrairement à la prescription, la péremption prévue à l’art. 25 al. 2</w:t>
      </w:r>
    </w:p>
    <w:p>
      <w:r>
        <w:t>A/2244/2015 - 9/11 - LPGA ne peut être ni suspendue ni interrompue et lorsque s’accomplit l’acte conservatoire que prescrit la loi, comme la prise d’une décision, le délai se trouve sauvegardé une fois pour toutes (arrêt du Tribunal fédéral des assurances C 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des assurances K 70/06 du 30 juillet 2007 consid. 5.1 non publié à l’ATF 133 V 579). A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des assurances K 70/06, op. cit., consid. 5.1).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w:t>
      </w:r>
    </w:p>
    <w:p>
      <w:r>
        <w:rPr>
          <w:b/>
        </w:rPr>
        <w:t>E. 14</w:t>
      </w:r>
    </w:p>
    <w:p>
      <w:r>
        <w:t>En l’espèce, la recourante a informé l’intimé de son divorce le 18 juin 2012, étant précisé que celui-ci avait déjà été mis au courant dudit divorce le 8 mai 2012 par l’ex-époux. En vertu de l'art. 36 al. 2 première phrase LAI, les dispositions de la LAVS sont applicables par analogie au calcul des rentes ordinaires. Or, aux termes de l'art. 29quinquies al. 3 LAVS, les revenus que les époux ont réalisés pendant les années civiles de mariage commun sont répartis et attribués pour moitié à chacun des époux. La répartition est effectuée lorsque les deux conjoints ont droit à la rente (let. a); le mariage est dissous par le divorce (let. c).</w:t>
      </w:r>
    </w:p>
    <w:p>
      <w:r>
        <w:t>A/2244/2015 - 10/11 - Toutefois, tant que l’intimé n’a pas eu connaissance de l’augmentation de la rente d’invalidité, il n’était pas en mesure de fixer le montant de sa créance en restitution. Or, ce n’est qu’à réception des attestations fiscales de la caisse de compensation SEE transmises par la recourante, le 31 octobre 2014, qu’il a pu se rendre compte qu’il avait versé à la recourante des prestations complémentaires fédérales plus élevées que celles auxquelles elle avait droit, respectivement qu’il disposait d’une créance en restitution à son encontre. Par conséquent, en réclamant la restitution des prestations le jour-même où il a eu connaissance des montants versés en trop à la recourante, l’intimé a agi dans le délai d’un an dès qu’il a eu connaissance des faits fondant l’obligation de restituer, de sorte qu’il est en droit d’en demander la restitution. Il appartiendra au SPC d’examiner, dès l’entrée en force du présent arrêt, les conditions de la remise de l’obligation de rembourser la somme dont le paiement est réclamé et de notifier à l’assurée une nouvelle décision sujette à recours.</w:t>
      </w:r>
    </w:p>
    <w:p>
      <w:r>
        <w:rPr>
          <w:b/>
        </w:rPr>
        <w:t>E. 15</w:t>
      </w:r>
    </w:p>
    <w:p>
      <w:r>
        <w:t>Au vu de ce qui précède, le recours sera rejeté. Pour le surplus, la procédure est gratuite (art. 61 let. a LPGA).</w:t>
      </w:r>
    </w:p>
    <w:p>
      <w:r>
        <w:t>A/2244/2015 - 11/11 -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