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ATAS/1079/2019 vom 21. November 2019</w:t>
      </w:r>
    </w:p>
    <w:p>
      <w:r>
        <w:t>GE Cour de justice, 2019-11-21, FR</w:t>
      </w:r>
    </w:p>
    <w:p>
      <w:r>
        <w:rPr>
          <w:b/>
        </w:rPr>
        <w:t xml:space="preserve">Quelle: </w:t>
      </w:r>
      <w:r>
        <w:t>https://mcp.opencaselaw.ch/entscheid/ge_gerichte_ATAS_1079_2019</w:t>
      </w:r>
    </w:p>
    <w:p>
      <w:r>
        <w:t>FR: GE_GERICHTE ATAS/1079/2019 du 21 novembre 2019</w:t>
      </w:r>
    </w:p>
    <w:p>
      <w:r>
        <w:t>IT: GE_GERICHTE ATAS/1079/2019 del 21 novembre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délais commencent à courir le lendemain de leur communication ou de l'événement qui les déclenche (art. 17 al. 1 LPA). Les délais en jours ou en mois fixés par la loi ou par l'autorité ne courent pas : a) du 7e jour avant Pâques au</w:t>
      </w:r>
    </w:p>
    <w:p>
      <w:r>
        <w:t>A/2742/2019 - 6/13 - 7e jour après Pâques inclusivement; b) du 15 juillet au 15 août inclusivement; c) du 18 décembre au 2 janvier inclusivement (art.89C LPA). Interjeté dans les forme et délai prescrits par la loi, le présent recours est recevable (art. 56 à 61 LPGA).</w:t>
      </w:r>
    </w:p>
    <w:p>
      <w:r>
        <w:rPr>
          <w:b/>
        </w:rPr>
        <w:t>E. 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4</w:t>
      </w:r>
    </w:p>
    <w:p>
      <w:r>
        <w:t>Le litige porte sur l’appréciation de l’aggravation de l’état de santé du recourant, avant que la décision de l’AI ne soit rendue et la prise en compte de cette aggravation par l’OAI, dans le cadre de l’établissement de la capacité de travail de l’assuré.</w:t>
      </w:r>
    </w:p>
    <w:p>
      <w:r>
        <w:t>A/2742/2019 - 7/13 -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A/2742/2019 - 8/13 -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A/2742/2019 - 9/13 -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A/2742/2019 - 10/13 -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10</w:t>
      </w:r>
    </w:p>
    <w:p>
      <w:r>
        <w:t>En l’espèce, le recourant a produit, postérieurement à la notification de la décision de l’OAI, mais avant la fin du délai de recours plusieurs pièces datées du mois de mai 2019, notamment l’IRM du 15 mai et le rapport du Dr F______ (ainsi que le certificat d’arrêt de travail du Dr G______), dont il estime qu’elles montrent un changement, singulièrement, une aggravation de son état de santé. Aux dires du recourant, l’intimé avait été informé de l’existence de ces nouvelles pièces avant de rendre la décision querellée. S’agissant de l’IRM et du rapport du Dr F______, datés respectivement des 26 et 27 août 2019, ils ont été effectués et produits postérieurement à la date de la</w:t>
      </w:r>
    </w:p>
    <w:p>
      <w:r>
        <w:t>A/2742/2019 - 11/13 - décision querellée et confirment les conclusions du rapport médical du même médecin, rédigé en date du 17 mai 2019. L’intimé confirme, dans sa duplique du 10 septembre 2019, avoir pris connaissance des pièces médicales produites par le conseil du recourant et demandé au SMR de bien vouloir lui faire part de son appréciation. Il ne précise pas s’il avait eu connaissance, avant de rendre sa décision, de l’existence de l’IRM et du rapport du Dr F______ du mois de mai 2019. Appelé à se prononcer sur le rapport IRM du recourant, le médecin-conseil du SMR de l’intimé, la Dresse H______ déclare, dans son rapport du 9 septembre 2019, que les certificats médicaux (du Dr G______) ne permettent pas au SMR d'apprécier une aggravation de l'état de santé de l'assuré et ajoute, dans le même rapport, quelques lignes plus bas, que pour le SMR, les documents médicaux (ceux du Dr F______) relèvent chez cet assuré d’une aggravation radiologique au niveau lombaire, mais ne permettent pas d'apprécier une aggravation clinique objective avec répercussion sur la capacité de travail. On ne saurait nier que l’IRM et le rapport du Dr F______, datant du mois de mai 2019, ainsi que l’IRM et le rapport du Dr F______, datant du mois d’août 2019 et confirmant le rapport établi au mois de mai, sont étroitement liés à l’objet du litige et de nature à influencer l'intimé qui doit, dans l'appréciation de l'invalidité, pouvoir se fonder sur des documents médicaux renseignant de façon convaincante et complète. Pour cette raison, la chambre de céans considère qu’il se justifie, pour prendre sa décision, de tenir compte des IRM et des rapports établis par le Dr F______ au mois de mai et au mois d’août 2019, ainsi que de la réponse du SMR de l’intimé, datant du mois de septembre 2019. Cette solution s’impose d’autant plus que l’intimé est entrée en matière sur l’appréciation des documents médicaux, établis antérieurement à la décision litigieuse mais produits par le recourant dans le cadre de la procédure de recours, et les a soumis au médecin de son SMR.</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A/2742/2019 - 12/13 -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Dans le cas d’espèce, la chambre de céans, constate que le SMR admet, dans son rapport du 9 septembre 2019, l’occurrence d’une aggravation de la santé du recourant, en se fondant sur l’examen radiologique du mois de mai 2019, et reconnaît qu’il n’est pas en mesure d’apprécier si les documents médicaux transmis impliquent une aggravation clinique objective. Compte tenu des conclusions du médecin du SMR, la chambre de céans ne peut que constater que l’aggravation de l’état de santé du recourant doit être admise, selon le principe de la vraisemblance prépondérante et qu’un complément d’instruction sur ce point est requis, afin d’effectuer les examens médicaux nécessaires à l’établissement d’un rapport qui réponde à la question de l’occurrence d’une aggravation clinique objective de l’état de santé du recourant et des éventuelles conséquences quant à l’appréciation de la capacité de travail du recourant.</w:t>
      </w:r>
    </w:p>
    <w:p>
      <w:r>
        <w:rPr>
          <w:b/>
        </w:rPr>
        <w:t>E. 13</w:t>
      </w:r>
    </w:p>
    <w:p>
      <w:r>
        <w:t>Au vu de ce qui précède, le recours sera admis. La décision entreprise sera annulée et le dossier renvoyé à l'intimé pour instruction complémentaire, au regard de l'ensemble des éléments pertinents pour déterminer le statut du recourant, l’aggravation éventuelle de ses atteintes à la santé et l'impact de ces dernières sur sa capacité de travail et de gain, ses possibilités concrètes, le cas échéant, de déployer une telle capacité dans une activité adaptée, et finalement un degré d'invalidité réaliste, et ainsi statuer sur le droit du recourant à des prestations de l'AI.</w:t>
      </w:r>
    </w:p>
    <w:p>
      <w:r>
        <w:rPr>
          <w:b/>
        </w:rPr>
        <w:t>E. 14</w:t>
      </w:r>
    </w:p>
    <w:p>
      <w:r>
        <w:t>Le recourant obtenant gain de cause, une indemnité de CHF 2'000.- lui sera accordée à titre de participation à ses frais et dépens (art. 61 let. g LPGA; art. 6 du règlement sur les frais, émoluments et indemnités en matière administrative du 30 juillet 1986 [RFPA - E 5 10.03] ; art. 89 H LPA).</w:t>
      </w:r>
    </w:p>
    <w:p>
      <w:r>
        <w:rPr>
          <w:b/>
        </w:rPr>
        <w:t>E. 15</w:t>
      </w:r>
    </w:p>
    <w:p>
      <w:r>
        <w:t>La procédure en matière d'assurance-invalidité n'étant pas gratuite (art. 69 al. 1bis LAI), l'intimé supporte l'indemnité de procédure de CHF 200.-.</w:t>
      </w:r>
    </w:p>
    <w:p>
      <w:r>
        <w:t>A/2742/2019 - 13/13 -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