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ATAS/1079/2018 vom 19. November 2018</w:t>
      </w:r>
    </w:p>
    <w:p>
      <w:r>
        <w:t>GE Cour de justice, 2018-11-19, FR</w:t>
      </w:r>
    </w:p>
    <w:p>
      <w:r>
        <w:rPr>
          <w:b/>
        </w:rPr>
        <w:t xml:space="preserve">Quelle: </w:t>
      </w:r>
      <w:r>
        <w:t>https://mcp.opencaselaw.ch/entscheid/ge_gerichte_ATAS_1079_2018</w:t>
      </w:r>
    </w:p>
    <w:p>
      <w:r>
        <w:t>FR: GE_GERICHTE ATAS/1079/2018 du 19 novembre 2018</w:t>
      </w:r>
    </w:p>
    <w:p>
      <w:r>
        <w:t>IT: GE_GERICHTE ATAS/1079/2018 del 19 novembre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entière d’invalidité au-delà du 31 décembre 2012.</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w:t>
      </w:r>
    </w:p>
    <w:p>
      <w:r>
        <w:t>A/4437/2016 - 16/20 -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A/4437/2016 - 17/20 -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11</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w:t>
      </w:r>
    </w:p>
    <w:p>
      <w:r>
        <w:t>A/4437/2016 - 18/20 -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w:t>
      </w:r>
    </w:p>
    <w:p>
      <w:r>
        <w:rPr>
          <w:b/>
        </w:rPr>
        <w:t>E. 13</w:t>
      </w:r>
    </w:p>
    <w:p>
      <w:r>
        <w:t>Au vu de ce qui précède, il convient d’admettre le recours, d’annuler les décisions litigieuses et de dire que la recourante a droit à une rente entière d’invalidité depuis le 1er septembre 2012.</w:t>
      </w:r>
    </w:p>
    <w:p>
      <w:r>
        <w:rPr>
          <w:b/>
        </w:rPr>
        <w:t>E. 14</w:t>
      </w:r>
    </w:p>
    <w:p>
      <w:r>
        <w:t>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 Enfin, compte tenu du fait qu’une instruction médicale a été nécessaire, l’intimé ayant fondé sa première appréciation sur un avis unique de la médecin traitante de la recourante, de surcroit différent d’un avis subséquent de celle-ci ainsi que des avis d’autres médecins spécialistes, il convient de mettre les frais d’expertise de CHF 7'488.45 à la charge de l’intimé.</w:t>
      </w:r>
    </w:p>
    <w:p>
      <w:r>
        <w:t>A/4437/2016 - 20/20 -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