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ATAS/1079/2010 vom 20. Oktober 2010</w:t>
      </w:r>
    </w:p>
    <w:p>
      <w:r>
        <w:t>GE Cour de justice, 2010-10-20, FR</w:t>
      </w:r>
    </w:p>
    <w:p>
      <w:r>
        <w:rPr>
          <w:b/>
        </w:rPr>
        <w:t xml:space="preserve">Quelle: </w:t>
      </w:r>
      <w:r>
        <w:t>https://mcp.opencaselaw.ch/entscheid/ge_gerichte_ATAS_1079_2010</w:t>
      </w:r>
    </w:p>
    <w:p>
      <w:r>
        <w:t>FR: GE_GERICHTE ATAS/1079/2010 du 20 octobre 2010</w:t>
      </w:r>
    </w:p>
    <w:p>
      <w:r>
        <w:t>IT: GE_GERICHTE ATAS/1079/2010 del 20 ottobre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En l'espèce, la décision litigieuse datant du 23 avril 2009, est postérieure à l'entrée en vigueur de la LPGA, le 1er janvier 2003, ainsi qu'à l'entrée en vigueur, le 1er janvier 2004 et le 1er janvier 2008, des modifications de la loi fédérale sur l'assurance-invalidité du 21 mars 2003 et du 6 octobre 2006 (4ème et 5ème révisions). Par conséquent, du point de vue matériel, le droit éventuel à une rente d'invalidité doit être examiné en fonction des nouvelles normes de la LPGA et des modifications de la LAI consécutives à la 4ème et la 5ème révisions de cette loi, dans la mesure de leur pertinence (ATF 130 V 445 et les références; voir également ATF 130 V 329).</w:t>
      </w:r>
    </w:p>
    <w:p>
      <w:r>
        <w:rPr>
          <w:b/>
        </w:rPr>
        <w:t>E. 3</w:t>
      </w:r>
    </w:p>
    <w:p>
      <w:r>
        <w:t>Interjeté dans les forme et délai prévus par la loi, le recours est recevable (art. 56 et 60 LPGA ; art. 89B de la loi sur la procédure administrative, du 12 septembre 1985 - LPA ; RS E 5 10).</w:t>
      </w:r>
    </w:p>
    <w:p>
      <w:r>
        <w:rPr>
          <w:b/>
        </w:rPr>
        <w:t>E. 4</w:t>
      </w:r>
    </w:p>
    <w:p>
      <w:r>
        <w:t>L’objet du litige porte sur la réduction de la rente d’invalidité du recourant à une demi-rente à compter du 1er septembre 2007, limitée au 29 février 2008.</w:t>
      </w:r>
    </w:p>
    <w:p>
      <w:r>
        <w:rPr>
          <w:b/>
        </w:rPr>
        <w:t>E. 5</w:t>
      </w:r>
    </w:p>
    <w:p>
      <w:r>
        <w:t>Selon la jurisprudence, une décision par laquelle l'assurance-invalidité accorde une rente d'invalidité avec effet rétroactif et, en même temps, prévoit la réduction ou la suppression de cette rente, correspond à une décision de révision (ATF 125 V 417 consid. 2d et les références; VSI 2001 p. 157 consid. ). En cas d'allocation d'une rente dégressive ou temporaire, la date de la modification du droit (diminution ou suppression de la rente) doit être fixée conformément à l'art. 88a al. 1 RAI (ATF 125 V 417 consid. 2d; RCC 1984 p. 137). Selon cette disposition, en sa teneur en vigueur dès le 1er janvier 2004, si la capacité de gain ou la capacité d'accomplir les travaux habituels d'un assuré s'améliore ou que son impotence s'atténue, il y a lieu</w:t>
      </w:r>
    </w:p>
    <w:p>
      <w:r>
        <w:t>A/2082/2009 - 9/16 -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Aux termes de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w:t>
      </w:r>
    </w:p>
    <w:p>
      <w:r>
        <w:t>Il convient par ailleurs de rappeler que lorsque seule la réduction ou la suppression des prestations est contestée, le pouvoir d'examen du juge n'est pas limité au point qu'il doive s'abstenir de se prononcer en ce qui concerne des périodes à propos desquelles l'octroi de prestations n'est pas remis en cause.</w:t>
      </w:r>
    </w:p>
    <w:p>
      <w:r>
        <w:rPr>
          <w:b/>
        </w:rPr>
        <w:t>E. 6</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1er LPGA). Selon le texte de la loi en vigueur jusqu'au 31 décembre 2007, l'invalidité est réputée survenue, selon l’art. 4 al. 2 LAI, dès qu’elle est, par sa nature et sa gravité, propre à ouvrir droit aux prestations entrant en considération. Ce moment doit être déterminé objectivement, d’après l’état de santé de l’assuré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157 consid. 3a). S’agissant du droit à une rente, la survenance de l’invalidité se situe au moment où il prend naissance, conformément à l’art. 29 al. 1er LAI, soit dès que l’assuré présente une incapacité de gain durable de 40% au moins ou dès qu’il a présenté, en moyenne,</w:t>
      </w:r>
    </w:p>
    <w:p>
      <w:r>
        <w:t>A/2082/2009 - 10/16 - une incapacité de travail de 40% au moins pendant une année sans interruption notable, mais au plus tôt le premier jour du mois qui suit le dix-huitième anniversaire de l’assuré (art. 29 al. 2 aLAI ; ATF 126 V 5 consid. 2b et les références). Avec l'entrée en vigueur depuis le 1er janvier 2008 de la nouvelle LAI, l'invalidité est réputée survenue, selon l’art. 4 al. 2 LAI, dès qu’elle est, par sa nature et sa gravité, propre à ouvrir droit aux prestations entrant en considération. À teneur de l’art. 29 LAI, le droit à une rente d’invalidité prend naissance au plus tôt à l’échéance d’une période de six mois à compter de la date à laquelle l’assuré a fait valoir son droit aux prestations conformément à l’art. 29 al. 1er LPGA, mais pas avant le mois qui suit son dix-huitième anniversaire.</w:t>
      </w:r>
    </w:p>
    <w:p>
      <w:r>
        <w:rPr>
          <w:b/>
        </w:rPr>
        <w:t>E. 7</w:t>
      </w:r>
    </w:p>
    <w:p>
      <w:r>
        <w:t>Selon l’art. 28 al. 1er LAI dans sa teneur en vigueur jusqu’au 31 décembre 2003, l’assuré a droit à une rente entière s’il est invalide à 66 2/3% au moins, à une demi- rente s’il est invalide à 50% au moins, ou à un quart de rente s’il est invalide à 40% au moins ; dans les cas pénibles, l’assuré peut, d’après l’art. 28 al. 1bis LAI, prétendre à une demi-rente s’il est invalide à 40% au moins. Selon l’art. 28 al. 1er LAI dans sa teneur en vigueur du 1er janvier 2004 au 31 décembre 2007, l’assuré a droit à une rente entière s’il est invalide à 70% au moins, à trois quarts de rente s’il est invalide à 60% au moins, à une demi-rente s’il est invalide à 50% au moins ou à un quart de rente s’il est invalide à 40% au moins. En vertu de l’art. 28 al. 1er LAI dans sa teneur en vigueur depuis le 1er janvier 2008,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Il y a interruption notable de l’incapacité de travail lorsque l’assuré a été entièrement apte au travail pendant trente jours consécutifs au moins (art. 29ter du Règlement sur l'assurance- invalidité du 17 janvier 1961 (RAI ; RS 831.201)). L’art. 28 al. 2 LAI dispose que l’assuré a droit à une rente entière s’il est invalide à 70% au moins, à trois quarts de rente s’il est invalide à 60% au moins, à une demi-rente s’il est invalide à 50% au moins ou à un quart de rente s’il est invalide à 40% au moins. Chez les assurés actifs, le degré d'invalidité doit être évalué sur la base d'une comparaison des revenus.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w:t>
      </w:r>
    </w:p>
    <w:p>
      <w:r>
        <w:t>A/2082/2009 - 11/16 - ordinaire, en chiffrant aussi exactement que possible les montants de ces deux revenus et en les confrontant l'un avec l'autre, la différence permettant de calculer le taux d'invalidité (méthode générale de comparaison des revenus; ATF 130 V 384 consid. 3.4, 128 V 30 consid. 1, 104 V 136 consid. 2a et 2b; art. 28 al. 2 LAI en corrélation avec l'art. 16 LPGA).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 même), doivent être prises en compte (cf. ATF 129 V 222 consid. 4.1, 128 V 174).</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du 6 mai 2003, I 762/02).</w:t>
      </w:r>
    </w:p>
    <w:p>
      <w:r>
        <w:rPr>
          <w:b/>
        </w:rPr>
        <w:t>E. 9</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t>A/2082/2009 - 12/16 - Quant aux expertises médicales, l’on peut et doit attendre d’un expert médecin, dont la mission diffère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fera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sera rédigé de manière sobre et libre de toute qualification dépréciative ou, au contraire, de tournures à connotation subjective, en suivant une structure logique afin que le lecteur puisse comprendre le cheminement intellectuel et scientifique à la base de l’avis qu’il exprime (ATF 125 V 351 consid. 3a, 122 V 160 consid. 1c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w:t>
      </w:r>
    </w:p>
    <w:p>
      <w:r>
        <w:rPr>
          <w:b/>
        </w:rPr>
        <w:t>E. 10</w:t>
      </w:r>
    </w:p>
    <w:p>
      <w:r>
        <w:t>En l’espèce, le Tribunal de céans, au vu des conclusions contradictoires des médecins concernant les répercussions de l’atteinte à la santé du recourant sur sa capacité de travail, a mis en œuvre une expertise judiciaire et a mandaté le Dr R__________ à cet effet. Selon l’expert, le syndrome de fatigue chronique présenté par le recourant est tout à fait décrit dans la littérature médicale comme un trouble résiduel consécutif à une chimiothérapie. Le Dr R__________ a retenu deux critères majeurs dudit syndrome, à savoir une fatigue durant plus de 6 mois, suffisamment sévère pour</w:t>
      </w:r>
    </w:p>
    <w:p>
      <w:r>
        <w:t>A/2082/2009 - 13/16 - réduire les activités quotidiennes à moins de 50 % de l’activité antérieure et exclusion d’une autre cause de fatigue, et quatre critères mineurs au moins, sous forme de sentiment de faiblesse musculaire, fatigue à l’exercice prolongé, de troubles de la concentration et des perturbations du sommeil. Ces troubles sont décrits constamment depuis la période de convalescence, même si l’intensité varie selon les observateurs. Sur le plan physique, l’expert relève que le pronostic vital du recourant reste grevé d’un risque important de progression tumorale même tardive. S’agissant des répercussions engendrées par le tableau post- chimiothérapeutique, elles doivent être considérées comme majeures au vu notamment de la durée des symptômes. Les limitations fonctionnelles du point de vue physique commandent un travail léger. Quant à la diminution de la résistance, elle implique une diminution de la capacité de travail de 75 % au vu de la fatigabilité majeure alléguée et constatée par l’employeur, ce autant dans l’activité habituelle que dans une activité adaptée. Pour l’expert, le point d’équilibre trouvé par l’intéressé dans une réduction à 30 % de ses activités professionnelles et 25 % de ses activités sociales correspond à l’appréciation raisonnable de la capacité de travail résiduelle dans une perspective ergothérapeutique. Hors de cette dernière, le Dr R__________ indique que la capacité résiduelle doit être considérée comme nulle. L’expert indique aussi que les activités d’aide en pharmacie et d’aide au bloc opératoire paraissent strictement inadaptées au vu des remarques relatives à la fatigabilité, la diminution du rendement et les exigences du milieu médico- technique. S’agissant de l’exigibilité d’une activité lucrative, l’expert relève que ne s’agissant que d’une situation proprement ergothérapeutique, l’activité adaptée pourrait être augmentée selon la tolérance de l’intéressé jusqu’à 50 %, dans une activité limitée de contact avec le public et dans une structure administrative protectrice, avec un rendement qui ne peut être chiffré précisément. Pour le surplus, la capacité de travail ne peut être améliorée. Le Tribunal de céans constate que le rapport d’expertise du Dr R__________ comporte une anamnèse circonstanciée du cas, des constatations objectives et un status clinique détaillé. L’expert a pris en compte les plaintes de l’assuré et s’est fondé sur l’ensemble de son dossier médical. Dans l’appréciation et la discussion du cas, l’expert a clairement expliqué quelle était l’origine du syndrome de fatigue présenté par le recourant et pourquoi ce syndrome entraîne en l’occurrence des conséquences sur la capacité de travail. Ses conclusions sont claires et convaincantes. L’expertise revêt ainsi pleine valeur probante, de sorte que le Tribunal de céans n’a pas de motif de s’en écarter. Il convient ainsi de retenir une capacité de travail résiduelle de 30 %, même dans une activité adaptée et ceci depuis fin 2006 en incluant le temps de convalescence. En effet, contrairement à ce que soutient l’intimé, l’on ne saurait retenir sans autre une capacité de travail de 50 % dans une activité adaptée, dès lors que l’expert a expressément souligné qu’une telle capacité de travail ne serait admissible que dans une situation proprement ergothérapeutique dans le cadre d’une structure</w:t>
      </w:r>
    </w:p>
    <w:p>
      <w:r>
        <w:t>A/2082/2009 - 14/16 - administrative protectrice et selon la tolérance du recourant, le rendement n’étant par ailleurs pas chiffrable précisément. Quoi qu’il en soit, même dans cette dernière hypothèse, le degré d’invalidité du recourant atteint 71%, ce qui conduit à l’octroi d’une rente entière d’invalidité depuis le mois d’avril 2007 (art. 28 al. 2 LAI), comme l’intimé l’admet d’ailleurs. C’est ainsi à tort que l’intimé a réduit la rente d’invalidité dès le 1er septembre 2007, puis l’a supprimée fin février 2008.</w:t>
      </w:r>
    </w:p>
    <w:p>
      <w:r>
        <w:rPr>
          <w:b/>
        </w:rPr>
        <w:t>E. 11</w:t>
      </w:r>
    </w:p>
    <w:p>
      <w:r>
        <w:t>Le recours, bien fondé, est admis. Le recourant a droit à une indemnité à titre de participation à ses frais et dépens, que le Tribunal fixe en l’espèce à 3'500 fr. (art. 89H al. 3 LPA).</w:t>
      </w:r>
    </w:p>
    <w:p>
      <w:r>
        <w:rPr>
          <w:b/>
        </w:rPr>
        <w:t>E. 12</w:t>
      </w:r>
    </w:p>
    <w:p>
      <w:r>
        <w:t>L’émolument, fixé à 1’000 fr., est à charge de l’intimé qui succombe (art. 69 al.1bis LAI).</w:t>
      </w:r>
    </w:p>
    <w:p>
      <w:r>
        <w:t>A/2082/2009 - 15/16 -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