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ATAS/1078/2020 vom 16. November 2020</w:t>
      </w:r>
    </w:p>
    <w:p>
      <w:r>
        <w:t>GE Cour de justice, 2020-11-16, FR</w:t>
      </w:r>
    </w:p>
    <w:p>
      <w:r>
        <w:rPr>
          <w:b/>
        </w:rPr>
        <w:t xml:space="preserve">Quelle: </w:t>
      </w:r>
      <w:r>
        <w:t>https://mcp.opencaselaw.ch/entscheid/ge_gerichte_ATAS_1078_2020</w:t>
      </w:r>
    </w:p>
    <w:p>
      <w:r>
        <w:t>FR: GE_GERICHTE ATAS/1078/2020 du 16 novembre 2020</w:t>
      </w:r>
    </w:p>
    <w:p>
      <w:r>
        <w:t>IT: GE_GERICHTE ATAS/1078/2020 del 16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A/529/2020 - 4/8 -</w:t>
      </w:r>
    </w:p>
    <w:p>
      <w:r>
        <w:rPr>
          <w:b/>
        </w:rPr>
        <w:t>E. 2</w:t>
      </w:r>
    </w:p>
    <w:p>
      <w:r>
        <w:t>Interjeté en temps utile et dans la forme prévue par la loi, le recours est recevable (art. 56 et 60 LPGA).</w:t>
      </w:r>
    </w:p>
    <w:p>
      <w:r>
        <w:rPr>
          <w:b/>
        </w:rPr>
        <w:t>E. 3</w:t>
      </w:r>
    </w:p>
    <w:p>
      <w:r>
        <w:t>Le litige porte sur le bien-fondé de la suspension de trois jours du droit à l'indemnité de la recourante, pour recherches insuffisantes quantitativement en octobre 2019.</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w:t>
      </w:r>
    </w:p>
    <w:p>
      <w:r>
        <w:t>A/529/2020 - 5/8 - prestations (cf. arrêt du Tribunal fédéral 8C_601/2012 du 26 février 2013 consid. 4.1, non publié in ATF 139 V 164 et les références; arrêt du Tribunal fédéral 8C_537/2013 du 16 avril 2014 consid. 5.1; arrêt du Tribunal fédéral 8C_425/2014 du 12 août 2014 consid. 5.1).</w:t>
      </w:r>
    </w:p>
    <w:p>
      <w:r>
        <w:rPr>
          <w:b/>
        </w:rPr>
        <w:t>E. 6</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(8C_64/2012), le Tribunal fédéral a confirmé la réduction de la sanction de cinq à un jour de suspension du droit à l'indemnité au motif que l'assuré avait remis ses recherches d'emploi avec un jour de retard seulement. Dans un autre arrêt du 26 juin 2012 (8C_33/2012),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w:t>
      </w:r>
    </w:p>
    <w:p>
      <w:r>
        <w:t>A/529/2020 - 6/8 - S'agissant de sanction édictée par le SECO, le tableau figurant au ch. D79 LACI-IC prévoit en cas de recherches insuffisantes pendant une période de contrôle, pour un premier manquement, une sanction pouvant aller de 3 à 4 jours de suspension, la faute étant alors considérée comme légère.</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8</w:t>
      </w:r>
    </w:p>
    <w:p>
      <w:r>
        <w:t>En l'espèce, il n'est pas contesté que la recourante a remis un formulaire ne mentionnant que neuf recherches en octobre 2019 au lieu des dix convenues. La recourante fait valoir qu'ayant rencontré informellement des anciens collègues de travail lors d'une fête, le chef du service « crédits documentaires » lui avait demandé si elle connaissait une personne capable de remplacer une employée en congé maternité. Elle avait dès lors immédiatement manifesté son enthousiasme, avait obtenu un rendez-vous deux jours plus tard, et après avoir rencontré également les RH de la banque, elle s'attendait à être recontactée rapidement; ce qui n'avait pas été le cas malgré ses vaines relances. C'était la raison pour laquelle elle avait arrêté ses recherches au nombre de neuf, car elle était convaincue d'avoir retrouvé un travail. Elle proteste dès lors de sa bonne foi, estimant que la sanction qui lui a été infligée est trop dure. Elle a toutefois perdu de vue que tant que le chômage n'a pas pris fin, l'obligation de rechercher un emploi convenable subsiste : il en va ainsi pour un assuré qui attend une réponse à une postulation ou qui est en négociation avec un employeur en vue d'obtenir un emploi déterminé, dans un avenir plus ou moins proche (Boris RUBIN, Commentaire de la loi sur l'assurance-chômage, Schulthess éditions romandes 2014 ad art. 17 N 18 p. 201 et références jurisprudentielles citées). Il s'agit là d'un principe de bon sens, comme celui qui veut que la personne sachant qu'elle va se retrouver sans emploi se mobilise spontanément pour tenter de retrouver un emploi au plus vite, sans attendre de se retrouver au chômage; ceci quand bien même elle ne maîtriserait pas pleinement les obligations légales qui s'imposent à celui qui prétend obtenir une indemnisation de cette assurance sociale. Le fait qu'elle se soit retrouvée sans emploi après une quarantaine d'années d'activité, circonstance qui, selon elle, expliquerait son comportement, dès lors qu'elle n'était pas entièrement rodée à toutes les procédures et obligations; en particulier le fait que ce n'est pas la profonde conviction d'être engagé, mais la</w:t>
      </w:r>
    </w:p>
    <w:p>
      <w:r>
        <w:t>A/529/2020 - 7/8 - signature d'un nouveau contrat de travail qui faisait foi, ne lui est d'aucun secours. Sa longue expérience professionnelle et son niveau de formation permettaient de toute évidence d'attendre d'elle que, consciente de cette situation nouvelle, elle se documente et mette à jour ses connaissances par rapport aux implications de son inscription au chômage, et en particulier aux obligations de la personne recherchant un emploi et bénéficiant dans l'intervalle des prestations de l'assurance-chômage. Elle réalise du reste spontanément avoir interrompu trop tôt ses recherches d'emploi, en ayant « vendu la peau de l'ours avant de l'avoir tué ». Certes est-il regrettable pour elle que les personnes qui, selon son ressenti, lui ont fait miroiter la perspective d'un engagement rapide, ne l'aient plus jamais recontactée. Il tombe toutefois sous le sens que tant et aussi longtemps qu'un engagement n'est pas conclu, il subsiste toujours une incertitude dont on doit évidemment tenir compte. Le principe de la faute est dès lors établi. Le principe de la sanction est dès lors justifié.</w:t>
      </w:r>
    </w:p>
    <w:p>
      <w:r>
        <w:rPr>
          <w:b/>
        </w:rPr>
        <w:t>E. 9</w:t>
      </w:r>
    </w:p>
    <w:p>
      <w:r>
        <w:t>Reste à savoir si la quotité de cette sanction est conforme au système légal et notamment au principe de la proportionnalité. Il convient de rappeler que si la sanction doit être fixée en fonction de la situation particulière du cas, l'autorité qui statue jouit d'un large pouvoir d'appréciation, dont le juge des assurances sociales ne peut s'écarter que s'il existe des motifs justifiés de s'écarter de la solution retenue par l'autorité inférieure. Dans le cas d'espèce, la chambre de céans constate que l'autorité a fait un usage pondéré de son pouvoir d'appréciation, en fixant la sanction au minimum de l'échelle des sanctions prévues par le SECO dans ses directives, lesquelles, même si elles ne sont pas contraignantes pour l'autorité administrative ou pour la juridiction appelée à connaître d'un recours, ont notamment pour vocation de fixer un cadre propre à assurer le respect de l'égalité de traitement entre administrés se trouvant dans la même situation. De ce point de vue, la suspension dans l'exercice du droit à l'indemnité de chômage de la recourante, pour une durée de 3 jours, apparaît dès lors conforme au principe de la proportionnalité. La recourante semble considérer que dans le cas d'espèce, elle avait tout de même justifié de neuf recherches sur les dix que prévoit le plan d'action qu'elle avait signé. Cet élément n'est toutefois pas en lui-même un élément justifiant de réduire la sanction infligée : d'une part, comme on l'a vu, la sanction a été fixée au minimum de la fourchette prévue dans le barème de l'administration fédérale; d'autre part, comme le prévoit le plan d'action, le nombre de recherches fixées à dix par période de contrôle (mois civil), est un nombre minimum. Ainsi la sanction querellée n'apparaît pas critiquable.</w:t>
      </w:r>
    </w:p>
    <w:p>
      <w:r>
        <w:rPr>
          <w:b/>
        </w:rPr>
        <w:t>E. 10</w:t>
      </w:r>
    </w:p>
    <w:p>
      <w:r>
        <w:t>Mal fondé, le recours doit être rejeté.</w:t>
      </w:r>
    </w:p>
    <w:p>
      <w:r>
        <w:rPr>
          <w:b/>
        </w:rPr>
        <w:t>E. 11</w:t>
      </w:r>
    </w:p>
    <w:p>
      <w:r>
        <w:t>Pour le surplus, la procédure est gratuite.</w:t>
      </w:r>
    </w:p>
    <w:p>
      <w:r>
        <w:t>A/529/2020 - 8/8 -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