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ATAS/1078/2017 vom 4. Dezember 2017</w:t>
      </w:r>
    </w:p>
    <w:p>
      <w:r>
        <w:t>GE Cour de justice, 2017-12-04, FR</w:t>
      </w:r>
    </w:p>
    <w:p>
      <w:r>
        <w:rPr>
          <w:b/>
        </w:rPr>
        <w:t xml:space="preserve">Quelle: </w:t>
      </w:r>
      <w:r>
        <w:t>https://mcp.opencaselaw.ch/entscheid/ge_gerichte_ATAS_1078_2017</w:t>
      </w:r>
    </w:p>
    <w:p>
      <w:r>
        <w:t>FR: GE_GERICHTE ATAS/1078/2017 du 4 décembre 2017</w:t>
      </w:r>
    </w:p>
    <w:p>
      <w:r>
        <w:t>IT: GE_GERICHTE ATAS/1078/2017 del 4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qui remontent au 19 mai 2011, du point de vue matériel, le droit éventuel aux prestations doit être examiné au regard des modifications de la LAI consécutives à la 5ème révision et la révision 6a de cette loi, dans la mesure de leur pertinence (ATF 130 V 445 et les références; voir également ATF 130 V 329).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w:t>
      </w:r>
    </w:p>
    <w:p>
      <w:r>
        <w:rPr>
          <w:b/>
        </w:rPr>
        <w:t>E. 4</w:t>
      </w:r>
    </w:p>
    <w:p>
      <w:r>
        <w:t>Le délai de recours est de 30 jours (art. 60 al. 1 LPGA). Déposé le 19 septembre 2016 contre la décision litigieuse du 1er juillet 2016, reçue par la recourante le 19 août 2016, le recours a été interjeté en temps utile, étant par ailleurs relevé que le délai de recours, expirant en l’occurrence le dimanche 18 septembre 2016, était reporté au lundi 19 septembre 2016 (art. 38 al. 3 LPGA).</w:t>
      </w:r>
    </w:p>
    <w:p>
      <w:r>
        <w:t>A/3134/2016 - 18/29 - Le recours satisfait, en outre, aux exigences de forme et de contenu prévues par l’art. 61 let. b LPGA. Le présent recours sera donc déclaré recevable.</w:t>
      </w:r>
    </w:p>
    <w:p>
      <w:r>
        <w:rPr>
          <w:b/>
        </w:rPr>
        <w:t>E. 5</w:t>
      </w:r>
    </w:p>
    <w:p>
      <w:r>
        <w:t>Le litige porte sur la question de savoir si la recourante a droit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A/3134/2016 - 19/29 - objectivement que possible (ATF 102 V 165;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p. 197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w:t>
      </w:r>
    </w:p>
    <w:p>
      <w:r>
        <w:rPr>
          <w:b/>
        </w:rPr>
        <w:t>E. 9</w:t>
      </w:r>
    </w:p>
    <w:p>
      <w:r>
        <w:t>a. Les atteintes à la santé pertinentes au sens de l’AI peuvent être des atteintes à la santé physique, mentale ou psychique, y compris psychosomatique. Cette dernière catégorie d’atteintes comporte les symptomatologies douloureuses sans substrat organique objectivable (autrement appelées « troubles somatoformes douloureux »)</w:t>
      </w:r>
    </w:p>
    <w:p>
      <w:r>
        <w:t>A/3134/2016 - 20/29 - et d’autres affections psychosomatiques assimilées (cf. ATAS/1010/2016 du 6 décembre 2016 consid. 7b). Ce diagnostic présuppose en effet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([CIM-10], ad F45.40; voir également ATF 141 V 281 consid. 2.1.1 p. 285) (arrêt du Tribunal fédéral 9C_533/2016 du 27 octobre 2016 consid. 4.2). b. 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c. Dans un arrêt de principe du 12 mars 2004 (ATF 130 V 352),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131 V 49; 130 V 352). d. Selon un nouvel arrêt de principe rendu par le Tribunal fédéral le 3 juin 2015 (ATF 141 V 281), il n’y a plus de présomption selon laquelle les syndromes du type</w:t>
      </w:r>
    </w:p>
    <w:p>
      <w:r>
        <w:t>A/3134/2016 - 21/29 -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w:t>
      </w:r>
    </w:p>
    <w:p>
      <w:r>
        <w:rPr>
          <w:b/>
        </w:rPr>
        <w:t>E. 10</w:t>
      </w:r>
    </w:p>
    <w:p>
      <w:r>
        <w:t>Lorsqu'il convient d'évaluer l'invalidité d'un assuré d'après la méthode mixte, l'invalidité des assurés qui n'exercent que partiellement une activité lucrative est, pour cette part, évaluée selon la méthode ordinaire de comparaison des revenus</w:t>
      </w:r>
    </w:p>
    <w:p>
      <w:r>
        <w:t>A/3134/2016 - 22/29 -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w:t>
      </w:r>
    </w:p>
    <w:p>
      <w:r>
        <w:rPr>
          <w:b/>
        </w:rPr>
        <w:t>E. 11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A/3134/2016 - 23/29 -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A/3134/2016 - 24/29 -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a. En l’occurrence, par arrêt du 16 novembre 2015 (ATAS/887/2015), la chambre de céans avait considéré que la décision du 6 février 2015, laquelle reposait sur l’expertise pluridisciplinaire de la PMU du 22 juillet 2014 ainsi que sur l’enquête économique sur le ménage du 8 décembre 2014, devait être annulée et la cause renvoyée à l’intimé afin qu’il mette en œuvre un complément d’expertise auprès de la PMU. À l’appui du renvoi, la chambre de céans avait observé que, si le rapport d’expertise précité avait été établi par des spécialistes des disciplines médicales pertinentes, au terme d’un examen approfondi, en pleine connaissance de l’anamnèse, leur analyse ne tenait pas compte des exigences posées par la nouvelle jurisprudence en cas de troubles somatoformes douloureux, notamment des incidences du trouble dépressif d’intensité moyenne diagnostiqué sur les ressources de la recourante pour surmonter ses troubles somatoformes douloureux ainsi que de la nouvelle approche selon le complexe de personnalité. Dans le cadre du complément d’expertise, les experts - qui avaient noté que la situation, vu le relativement jeune âge de la recourante, devrait être revue dans les dix-huit mois à deux ans environ - étaient invités à faire le point de la situation même si le délai initialement préconisé n’était pas encore atteint.</w:t>
      </w:r>
    </w:p>
    <w:p>
      <w:r>
        <w:t>A/3134/2016 - 25/29 - b. Il ressort du complément d’expertise du 23 février 2016 que le seul diagnostic ayant une incidence sur la capacité de travail de la recourante est l’épisode dépressif d’intensité moyenne avec des troubles neuropsychologiques. Le trouble somatoforme douloureux persistant était au second plan et n’avait, à lui seul, pas de répercussion sur la capacité de travail. c. Il convient de déterminer si, ainsi que le relèvent les experts, le trouble somatoforme douloureux est non-incapacitant au regard des nouveaux critères jurisprudentiels. c/aa. S’agissant de l’atteinte à la santé, le diagnostic de trouble somatoforme, diagnostiqué par les experts, est admis par les parties (voir avis du SMR des 7 octobre 2014 et 12 avril 2016). En ce qui concerne le traitement, la recourante prenait un antidépresseur (Paroxétine), prescrit par son médecin traitant, et avait observé une légère atténuation des symptômes dépressifs. Elle avait toutefois dû arrêter cette médication en raison d’un problème digestif de type gastrite infectieuse. Dans la mesure où ses capacités d’introspection paraissaient faibles, limitant les chances de succès d’un suivi psychothérapeutique spécialisé, il était compréhensible qu’elle préférât être suivie par son médecin traitant. Dans ce cas, ce dernier pouvait lui prescrire une autre classe d’antidépresseurs pouvant améliorer sa symptomatologie dépressive. Force est ainsi de constater que le trouble psychique peut encore être traité médicalement ; les experts n’ont pas relevé l’échec définitif du traitement. S’agissant des comorbidités – étant spécifié que cet indice ne fait pas l’objet d’un chapitre spécifique – on déduit que les experts relèvent un état dépressif d’intensité moyenne avec des troubles neuropsychologiques (troubles cognitifs avec trouble de la concentration et de la mémoire, fatigabilité, diminution de la résistance au stress). Ces limitations, liées à l’état dépressif, se retrouvaient tant dans son activité professionnelle que dans la tenue du ménage et des loisirs, fortement réduits depuis l’atteinte à la santé. En effet, à l’occasion de l’enquête économique sur le ménage en décembre 2014, la recourante avait affirmé à maintes reprises qu’elle se sentait fatiguée et stressée, depuis son atteinte à la santé, dès qu’elle entreprenait les divers travaux habituels. Cela étant, la recourante ne présentait pas un trouble de la personnalité, et quand bien même ses contacts sociaux étaient décrits comme diminués, ils ne s’étaient pas pour autant effondrés, car l’intéressée jouissait d’un bon encadrement familial et maintenait des relations avec ses voisins. Dans ce contexte, et compte de la possible évolution des symptômes dépressifs avec un (autre) traitement antidépresseur, ses ressources n’apparaissaient pas totalement effondrées. c/bb. En ce qui concerne la cohérence, les experts relèvent que les limitations fonctionnelles retenues limitaient la recourante de manière semblable dans son activité professionnelle et dans l’exécution de ses travaux habituels ainsi que dans les loisirs. Les symptômes manifestés avaient pu être objectivés par les tests et l’examen neurophysiologique, de sorte qu’il n’existait aucun argument pour retenir une exagération ou une simulation. En outre, bien qu’elle ait stoppé le traitement</w:t>
      </w:r>
    </w:p>
    <w:p>
      <w:r>
        <w:t>A/3134/2016 - 26/29 - antidépresseur prescrit par son médecin traitant et qu’elle n’ait pas un suivi psychiatrique spécialisé, en raison de ses capacités d’introspection faibles, la recourante consultait à réitérées reprises le Dr E______ chaque année depuis 2011 (cf. rapport dudit médecin du 10 février 2017). Force est ainsi de constater que la recourante n’a pas adopté un comportement incohérent, pouvant laisser à penser que ses limitations fonctionnelles seraient dues à d’autres raisons que son atteinte à la santé (psychique). c/cc. Au vu de l’ensemble de ces éléments, l’appréciation des experts, selon laquelle le trouble somatoforme douloureux était au second plan et n’avait, en lui seul, pas de répercussion sur la capacité de travail, n’apparaît pas critiquable. En effet, si les experts ont posé ce diagnostic, eu égard au fait que les symptômes somatiques (sensations vertigineuses) n’avaient pas pour origine un déficit organique - les examens neurologiques et ORL étant dans la norme -, ils n’ont pas relevé chez la recourante un sentiment de détresse. Or, le diagnostic de « trouble somatoforme » présuppose un certain degré de gravité. Ils ont, par contre, confirmé dans le complément d’expertise que les limitations neuropsychologiques liées à l’état dépressif étaient principalement à l’origine de l’incapacité de travail, évaluée à 50% dans toute activité. Quant à l’évolution de la capacité de travail dans le temps, les experts renvoient l’intimé à l’expertise du 22 juillet 2014, dans laquelle une réévaluation de la situation avait été préconisée dans le courant 2016. d. Il s’ensuit que les experts ont complété leur expertise uniquement sur la base de l’état de fait existant en 2014. L’intimé n’a donc pas invité les experts, comme relevé dans l’arrêt de renvoi, à procéder à l’actualisation du dossier, alors que du 24 février au 27 août 2015, soit bien avant le complément d’expertise du 23 février 2016, la recourante avait consulté un psychiatre. L’intimé ne leur a pas non plus soumis les rapports des Drs E______ et J______ du 27 août 2015. Si, à l’instar du SMR (cf. avis du 11 août 2016), le Dr E______ n’apporte pas d’élément nouveau, le Dr J______ a, par contre, noté que la recourante souffrait de troubles du sommeil à type de difficultés d’endormissement et de réveils fréquents associés à des cauchemars, symptôme que les experts n’avaient pas été mentionnés dans le rapport d’expertise. Ainsi, à ce stade, on ne saurait suivre le SMR lorsqu’il écrit que le Dr J______, qui considérait que la capacité de travail de sa patiente était nulle, parvenait à une appréciation différente de celle du Dr K______ quant à la capacité de travail, alors que l’état de santé de la recourante était demeuré le même. Si, en 2014, les experts, après une analyse détaillée, convaincante, et exempte de contradictions, estimaient que la capacité de travail était nulle du 19 mai 2011 au 31 décembre 2012, puis de 50% depuis le 1er janvier 2013 dans toute activité en raison du trouble psychiatrique, - évaluation au demeurant confirmée dans le complément d’expertise - on ignore depuis quand la capacité de travail serait à nouveau nulle selon le Dr J______, celui-ci n’ayant pas fourni de précisions à cet égard.</w:t>
      </w:r>
    </w:p>
    <w:p>
      <w:r>
        <w:t>A/3134/2016 - 27/29 - e. Sur le vu de ce qui précède, la chambre de céans n’est pas en mesure de statuer sur la capacité de travail de la recourante, et partant sur son degré d’invalidité. Il se justifie par conséquent de renvoyer le dossier à l’intimé pour instruction complémentaire, sous la forme d’une expertise psychiatrique auprès du Dr K______, lequel a déjà connaissance du dossier de la recourante. L’expert devra prendre connaissance du dossier, y compris des rapports des médecins traitants du 27 août 2015, examiner et entendre la recourante, prendre tous renseignements utiles auprès des médecins ayant traité cette dernière, avant de rendre un rapport détaillé et motivé, clarifiant notamment l’évolution de la capacité de travail de la recourante depuis janvier 2013 dans l’activité habituelle et dans une activité adaptée (en précisant en quoi pourrait consister celle-ci). Si l’expert pose, à nouveau, le diagnostic de trouble somatoforme douloureux persistant, il devra effectuer son analyse à l'aune des indicateurs déterminants développés par la nouvelle jurisprudence en lien avec les troubles somatoformes douloureux. Enfin, on ajoutera qu’une expertise sur le volet somatique n’est pas indispensable pour un double motif. D’une part, les experts avaient mis en exergue que l’examen neurologique et ORL était normal sans évidence d’une pathologie vestibulaire organique expliquant les vertiges chroniques, de sorte que la capacité de travail, sur le plan somatique strict, était entière dès janvier 2013 dans toute activité. D’autre part, postérieurement à l’expertise, dans son rapport du 27 août 2015, le Dr E______ n’a pas relevé d’élément nouveau pouvant expliquer la symptomatologie persistante, et son appréciation selon laquelle les affections dont souffre la recourante - lesquelles sont identiques à celles prises en compte par les experts - conduiraient à une incapacité de travail prolongée, n’est étayée par aucun examen (ENG, scanner, autre). L’intimé rendra ensuite une nouvelle décision, après avoir, mis sur pied, le cas échéant, une nouvelle enquête ménagère, dès lors qu’il y a lieu de trancher le cas sur la base de faits dûment actualisés.</w:t>
      </w:r>
    </w:p>
    <w:p>
      <w:r>
        <w:rPr>
          <w:b/>
        </w:rPr>
        <w:t>E. 16</w:t>
      </w:r>
    </w:p>
    <w:p>
      <w:r>
        <w:t>a. Enfin, dans la mesure où l’invalidité de la recourante, qui a le statut d’une assurée exerçant partiellement une activité lucrative, est évaluée d’après la méthode mixte, ce qui n’est ni contesté ni contestable (cf. arrêt de renvoi : ATAS/887/2015, p. 38), la chambre de céans observe, par économie de procédure - puisque la critique formulée ci-après est indépendante de la capacité de travail qui sera retenue par l’expert - que, s’agissant du calcul du degré d’invalidité dans l’activité professionnelle, l’intimé a, en violation du droit, retenu que le taux d’invalidité s’élevait à 0% dans la sphère professionnelle dès janvier 2013. Outre le fait que la capacité de travail dès cette date a été évaluée à 50% dans toute activité par les experts (et non à 0% comme noté sous la colonne « empêchement »), on comprend des deux tableaux figurant dans la décision du 6 février 2015 (aux conclusions desquelles l’intimé renvoie dans la décision litigieuse) que l’intimé n’a pas appliqué la méthode ordinaire de comparaison de revenus pour déterminer l’invalidité dans l’activité lucrative. En effet, l’intimé a calculé l’invalidité selon la formule</w:t>
      </w:r>
    </w:p>
    <w:p>
      <w:r>
        <w:t>A/3134/2016 - 28/29 - suivante : (part de la sphère professionnelle × empêchement) + (part des travaux habituels × empêchement). Or, le ch. 3101 de la circulaire de l’office fédéral des assurances sociales sur l'invalidité et l'impotence dans l'assurance-invalidité (CIIAI) prescrit aux organes de l'AI de déterminer le taux d'invalidité comme suit, lorsque la méthode mixte est appliquée: E x lE + ([EZ - E] x H) ----------------------- = Taux d'invalidité en % EZ E = travail fourni par l'assuré en tant que personne non invalide exerçant une activité lucrative, en heures par semaine lE = handicap rencontré par la personne exerçant une activité lucrative, en % EZ = durée de travail normale des personnes exerçant une activité lucrative à plein temps dans la branche d'activité concernée, en heures par semaine H = handicap rencontré dans le ménage, en % b. Le taux d’invalidité global peut également se déterminer à l’aide de la formule suivante (voir notamment ATF 137 V 334 consid. 7.1) : (% part lucrative x % invalidité) + (% part ménagère x % handicap). c. En retenant un empêchement de 0% dans la sphère professionnelle, l’intimé a uniquement tenu compte de l’incapacité de travail dans le calcul. Or, il aurait dû calculer l’incapacité de gain en comparant le revenu que la recourante aurait pu obtenir effectivement dans l’activité effectuée à temps partiel avant la survenance de l’atteinte à la santé (revenu sans invalidité) au revenu qu'elle pourrait raisonnablement obtenir en dépit de son atteinte à la santé (revenu d'invalide) (ATF 137 V 334 consid. 4.1). C’est en ce sens qu'il faut comprendre la variable IE (arrêt du Tribunal fédéral 9C_34/2016 du 14 septembre 2016 consid. 3.2). Dans la nouvelle décision, l’intimé devra donc prendre en considération les principes susmentionnés pour évaluer l’invalidité de la recourante dans l’activité lucrative.</w:t>
      </w:r>
    </w:p>
    <w:p>
      <w:r>
        <w:rPr>
          <w:b/>
        </w:rPr>
        <w:t>E. 17</w:t>
      </w:r>
    </w:p>
    <w:p>
      <w:r>
        <w:t>En conséquence, le recours sera partiellement admis, la décision querellée annulée, et la cause renvoyée à l’intimé pour instruction complémentaire au sens des considérants qui précèdent.</w:t>
      </w:r>
    </w:p>
    <w:p>
      <w:r>
        <w:rPr>
          <w:b/>
        </w:rPr>
        <w:t>E. 18</w:t>
      </w:r>
    </w:p>
    <w:p>
      <w:r>
        <w:t>La recourante obtenant partiellement gain de cause, une indemnité de CHF 1’500.- lui sera accordée à titre de participation à ses frais et dépens (art. 61 let. g LPGA; art. 6 du règlement sur les frais, émoluments et indemnités en matière administrative du 30juillet 1986 [RFPA – RS/GE E 5 10.03]). tant donné que la procédure n'est plus gratuite depuis le 1er juillet 2006 (art. 69 al. 1bis LAI), il y a lieu de condamner l'intimé au paiement d'un émolument de CHF 200.- au vu du sort du recours.</w:t>
      </w:r>
    </w:p>
    <w:p>
      <w:r>
        <w:t>A/3134/2016 - 29/29 -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