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ATAS/1078/2012 vom 30. August 2012</w:t>
      </w:r>
    </w:p>
    <w:p>
      <w:r>
        <w:t>GE Cour de justice, 2012-08-30, FR</w:t>
      </w:r>
    </w:p>
    <w:p>
      <w:r>
        <w:rPr>
          <w:b/>
        </w:rPr>
        <w:t xml:space="preserve">Quelle: </w:t>
      </w:r>
      <w:r>
        <w:t>https://mcp.opencaselaw.ch/entscheid/ge_gerichte_ATAS_1078_2012</w:t>
      </w:r>
    </w:p>
    <w:p>
      <w:r>
        <w:t>FR: GE_GERICHTE ATAS/1078/2012 du 30 août 2012</w:t>
      </w:r>
    </w:p>
    <w:p>
      <w:r>
        <w:t>IT: GE_GERICHTE ATAS/1078/2012 del 30 agosto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La compétence de la Cour de céans pour juger du cas d’espèce est ainsi établie.</w:t>
      </w:r>
    </w:p>
    <w:p>
      <w:r>
        <w:rPr>
          <w:b/>
        </w:rPr>
        <w:t>E. 2</w:t>
      </w:r>
    </w:p>
    <w:p>
      <w:r>
        <w:t>A teneur de l'art. 1 al. 1 LPC,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w:t>
      </w:r>
    </w:p>
    <w:p>
      <w:r>
        <w:t>A/1351/2011 - 9/30 -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w:t>
      </w:r>
    </w:p>
    <w:p>
      <w:r>
        <w:rPr>
          <w:b/>
        </w:rPr>
        <w:t>E. 4</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5</w:t>
      </w:r>
    </w:p>
    <w:p>
      <w:r>
        <w:t>Le litige porte sur les questions de savoir, d’une part, quel délai de prescription s’applique, d’autre part, quels montants prendre en compte au titre de fortune et de revenu dans le calcul des prestations complémentaires. S’agissant plus particulièrement de ce calcul, il y a lieu de relever que l’intimé a accepté de ne retenir aucun montant à titre de capital de prévoyance professionnelle et d’intérêts dudit capital dans ses calculs (voir préavis du 1er juin 2011), de sorte que l’objet du litige se limite au montant retenu à titre de gain potentiel de l’épouse du recourant, à la prise en considération de la valeur de rachat de l’assurance-vie et à la valeur du bien immobilier sis dans le Jura français (valeur vénale et valeur locative).</w:t>
      </w:r>
    </w:p>
    <w:p>
      <w:r>
        <w:rPr>
          <w:b/>
        </w:rPr>
        <w:t>E. 6</w:t>
      </w:r>
    </w:p>
    <w:p>
      <w:r>
        <w:t>a) Les personnes qui ont leur domicile et leur résidence habituelle en Suisse et qui remplissent les conditions (personnelles) prévues aux art. 4 à 6 et 8 LPC (art. 2 et ss aLPC) ont droit à des prestations complémentaires. Le montant de la prestation complémentaire annuelle correspond à la différence entre les dépenses reconnues et les revenus déterminants (art. 9 al. 1 LPC, art. 3a al. 1 aLPC). Font partie des revenus déterminants notamment les rentes, pensions et autres prestations périodiques (art. 11 al. 1 let. d LPC, art. 3c al. 1 let. d aLPC), un quinzième de la fortune nette pour les bénéficiaires de rentes de l’assurance- invalidité, dans la mesure où elle dépasse 40'000 fr. pour les couples (art. 11 al. 1 let. c LPC, art 3c al. 1 let. c aLPC) et le produit de ladite fortune (art. 11 al. 1 let. b et c LPC, art. 3c al. 1 let. b aLPC). Sont également comprises dans les revenus déterminants les ressources et parts de fortune dont un ayant droit s'est dessaisi (art. 11 al. 1 let. g LPC, art. 3c al. 2 let. g aLPC). Cette disposition est directement applicable lorsque l'épouse d'un assuré s'abstient de mettre en valeur sa capacité de</w:t>
      </w:r>
    </w:p>
    <w:p>
      <w:r>
        <w:t>A/1351/2011 - 10/30 - gain, alors qu'elle pourrait se voir obligée d'exercer une activité lucrative en vertu de l'art. 163 CC (ATF 117 V 291 s. consid. 3b; VSI 2001 p. 127 consid. 1b). b) Sur le plan cantonal, la LPCC renvoie à la réglementation fédérale pour le calcul du revenu et de la fortune déterminants (art. 5 et 7 LPCC, dans leur version en vigueur dès le 1er janvier 2008). Pour la période antérieure au 1er janvier 2008, la LPCC prévoyait ce qui suit. Les personnes dont le revenu annuel déterminant n’atteignait pas le revenu minimum cantonal d’aide sociale (RMCAS) applicable avaient droit à des prestations complémentaires cantonales (art. 4 aLPCC). Le revenu déterminant comprenait notamment les rentes, pensions et autres prestations périodiques (art. 5 al. 1 let. f aLPCC), un huitième de la fortune nette pour les bénéficiaires de rentes de l’assurance-invalidité, après déduction d’un montant de 40'000 fr. pour les couples (art. 5 al. 1 let. c aLPCC) ainsi que le produit de la fortune mobilière et immobilière (art. 5 al. 1 let. b aLPCC) Étaient également comprises dans les revenus déterminants les ressources dont un ayant droit s'était dessaisi (art. 5 al. 1 let. j aLPCC).</w:t>
      </w:r>
    </w:p>
    <w:p>
      <w:r>
        <w:rPr>
          <w:b/>
        </w:rPr>
        <w:t>E. 7</w:t>
      </w:r>
    </w:p>
    <w:p>
      <w:r>
        <w:t>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w:t>
      </w:r>
    </w:p>
    <w:p>
      <w:r>
        <w:t>A/1351/2011 - 11/30 -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8</w:t>
      </w:r>
    </w:p>
    <w:p>
      <w:r>
        <w:t>L’intimé soutient que le délai de prescription pénale peut s’appliquer au cas d’espèce, ce que conteste le recourant, qui argue que même en admettant qu’il y ait eu escroquerie - ce qu’il nie -, la demande en restitution serait néanmoins tardive puisque l’escroquerie en question remonterait à l’année 1999. a) Lorsqu'il statue sur la créance de l'intimée en restitution de prestations indûment versées, le juge peut examiner, à titre préjudiciel, si les circonstances correspondant à une infraction pénale sont réunies et, partant, si un délai de prescription plus long</w:t>
      </w:r>
    </w:p>
    <w:p>
      <w:r>
        <w:t>A/1351/2011 - 12/30 -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b/bb)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w:t>
      </w:r>
    </w:p>
    <w:p>
      <w:r>
        <w:t>A/1351/2011 - 13/30 - c)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w:t>
      </w:r>
    </w:p>
    <w:p>
      <w:r>
        <w:rPr>
          <w:b/>
        </w:rPr>
        <w:t>E. 9</w:t>
      </w:r>
    </w:p>
    <w:p>
      <w:r>
        <w:t>Afin de déterminer si l'intimé peut demander la restitution des prestations versées depuis 2001, il convient d'examiner, dans un premier temps, si le recourant s'est rendu coupable d'une escroquerie au sens de l'art. 146 CP.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b/aa)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w:t>
      </w:r>
    </w:p>
    <w:p>
      <w:r>
        <w:t>A/1351/2011 - 14/30 - extrêmes, toutes les nuances sont possibles. En particulier, le silence peut constituer dans certaines circonstances un acte concluant, partant, une tromperie par commission (ATF non publié 6S.288/2000 du 28 septembre 2000 consid. 3c/aa). b/bb)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b/cc)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c/aa) L’astuce au sens de l’art. 146 CP est réalisée, lorsque l’auteur se sert d’un édifice de mensonges, de manœuvres frauduleuses ou d’une mise en scène. Cette condition est également donnée lorsqu’il donne simplement de fausses informations, si la vérification n’est pas possible, ne l’est que difficilement ou ne</w:t>
      </w:r>
    </w:p>
    <w:p>
      <w:r>
        <w:t>A/1351/2011 - 15/30 -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c/bb)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publiés 6B_22/2011 du 23 mai 2011; 6B_576/2010 du 25 janvier 2011 consid. 4.1.2; 6B_689/2010 et 6B_690/2010 du 25 octobre 2010 consid. 4.3.4). d)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Le Tribunal fédéral a jugé qu’il en allait de même d’un bénéficiaire de prestations complémentaires qui avait gagné à la loterie et seulement transmis l’extrait de son livret d’épargne à l'autorité compétente, comme celle-ci le lui avait demandé, sans révéler spontanément sa fortune, placée sur un autre compte. Là encore, le Tribunal</w:t>
      </w:r>
    </w:p>
    <w:p>
      <w:r>
        <w:t>A/1351/2011 - 16/30 - fédéral a considéré que la condition de l’astuce était remplie, dès lors que l’autorité ne pouvait que très difficilement déceler la fortune de l’intéressé (ATF 127 IV 163). Enfin, l’existence d’une tromperie astucieuse a également été admise dans le cas d'un assuré n'ayant pas annoncé qu’il avait hérité de biens immobiliers d'une valeur importante dès lors que le SPC avait satisfait à son obligation d'élucider sa situation financière de l'assuré (revenus, fortune, dépenses) au moment du dépôt initial de la demande de prestations et que, par la suite, rien dans le comportement de l’assuré ne lui aurait permis d'envisager qu’une modification considérable était survenue dans sa situation financière (ATF non publié 9C_622/2011 du 3 février 2012, consid. 6 ; ATAS/914/2012 du 19 juillet 2012).</w:t>
      </w:r>
    </w:p>
    <w:p>
      <w:r>
        <w:rPr>
          <w:b/>
        </w:rPr>
        <w:t>E. 10</w:t>
      </w:r>
    </w:p>
    <w:p>
      <w:r>
        <w:t>En l’espèce, l’intimé soutient que le recourant s’est rendu coupable d’une escroquerie en dissimulant l’existence de revenus et de biens mobiliers et immobiliers. Il en tire la conclusion que le délai de péremption est de dix ans. A titre liminaire, la Cour de céans rappelle que seule la créance résultant d’une escroquerie se prescrit par dix ans. Il y a donc lieu de déterminer si une telle infraction a été commise et, dans l’affirmative, quelle(s) est(sont) la(les) créance(s) en découlant. a/aa) Lors du dépôt de la demande de prestations - le 4 août 1999 - le recourant a omis d’indiquer que son épouse et lui-même étaient titulaires de comptes bancaires auprès du CA et propriétaires d’un bien immobilier sis en France voisine. Concrètement, le recourant a répondu « NON » à la question: « Êtes-vous propriétaire d’un bien immobilier ? » et, s’il a admis être titulaire d’un compte bancaire, il n’a fourni que les relevés relatifs à celui ouvert auprès d’UBS SA. Conformément à la jurisprudence précitée, il doit être admis que le recourant a réalisé une tromperie par commission, en affirmant faussement, par des déclarations expresses (« NON »), ne pas être propriétaire. Il a également commis une tromperie au sens défini supra en ne déclarant pas le compte bancaire dont il disposait en France. Cette tromperie peut en outre être qualifiée d’astucieuse, dès lors qu’il était quasiment impossible pour l’intimé de vérifier l’exactitude des déclarations du recourant, les éléments de fortune litigieux étant situés en France. Cela étant, la question de savoir si les autres conditions (dommage, intention et dessein d’enrichissement) permettant d’admettre une escroquerie sont réalisées peut en l’état rester ouverte, la créance en restitution des prestations complémentaires versées suite à la demande d’août 1999 étant quoi qu’il en soit prescrite en janvier et février 2011, lorsqu’ont été rendues les décisions de restitution.</w:t>
      </w:r>
    </w:p>
    <w:p>
      <w:r>
        <w:t>A/1351/2011 - 17/30 - En effet, le délai de prescription étant de dix ans conformément au droit transitoire, la créance en restitution des prestations versées du 1er août 1999 au 31 décembre 2000 s’est prescrite entre le 1er août 2009 et le 31 décembre 2010. a/bb) Par la suite, l’intimé a versé ses prestations au recourant de manière routinière, sans jamais lui demander de s’exprimer sur sa situation financière en l’amenant à renouveler sa demande ou en lui transmettant le formulaire usuel en matière de révision. Concrètement, l’intimé a systématiquement rendu des décisions, par lesquelles les montants versés étaient adaptés. Par conséquent, compte tenu de la jurisprudence fédérale, on ne saurait reprocher au recourant de s’être rendu coupable de tromperies par action postérieurement à la demande du 4 août 1999, en ne réagissant pas suite aux décisions des 3 janvier 2001, 3 janvier 2002, 2 janvier 2003, 5 janvier 2004, 3 janvier 2005, 12 décembre 2008, 11 décembre 2009, 4 janvier 2010 et 17 décembre 2010. Il n’a pas non plus commis de tromperie par omission, étant donné qu’il ne se trouvait pas dans une position de garant vis-à-vis de l’intimé. Par conséquent, les versements subséquents, effectués sur la base des décisions précitées, ne résultent pas d’une escroquerie. a/cc) Enfin, la question de savoir si le recourant s’est rendu coupable d’escroquerie en 2010, lorsque son épouse et lui ont été mis au bénéfice de rentes françaises et n’en ont pas informé le SPC, peut en l’état rester ouverte. En effet, le délai de péremption usuel de cinq ans se confond, au jour des décisions litigieuses, avec le délai de prescription pénale, qui est désormais de 15 ans. b) En résumé, d’un point de vue pénal, une éventuelle escroquerie aurait été commise le 4 août 1999, lors de la remise du formulaire. La créance en restitution des prestations versées sur la base de cette infraction, entre le 1er août 1999 et le 31 décembre 2000, aurait quoi qu’il en soit été périmée au jour de la décision querellée, compte tenu d’un délai de six ans.</w:t>
      </w:r>
    </w:p>
    <w:p>
      <w:r>
        <w:rPr>
          <w:b/>
        </w:rPr>
        <w:t>E. 11</w:t>
      </w:r>
    </w:p>
    <w:p>
      <w:r>
        <w:t>Cela étant, il convient encore d’examiner si le recourant ne s’est pas rendu coupable d’une violation de l’obligation de renseigner (art. 31 LPC). a) Jusqu’au 31 décembre 2007, l’art. 16 al. 1er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w:t>
      </w:r>
    </w:p>
    <w:p>
      <w:r>
        <w:t>A/1351/2011 - 18/30 - Quant à l’art. 24 OPC-AVS/AI, toujours applicable,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Depuis le 1er janvier 2008, les dispositions pénales font l’objet de l’art. 31 LPC. Selon l’alinéa 1 lettre a de cette disposition,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b) Dans un ATF 131 IV 83,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w:t>
      </w:r>
    </w:p>
    <w:p>
      <w:r>
        <w:rPr>
          <w:b/>
        </w:rPr>
        <w:t>E. 16</w:t>
      </w:r>
    </w:p>
    <w:p>
      <w:r>
        <w:t>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w:t>
      </w:r>
    </w:p>
    <w:p>
      <w:r>
        <w:t>A/1351/2011 - 19/30 - Dans l’ATF 131 IV 83, la recourante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c/aa) En l’espèce, il a été considéré que si une escroquerie pouvait éventuellement être admise en 1999, le recourant n’en avait pas commis de nouvelle en omettant d’informer l’intimé les années suivantes. En revanche, il a alors, à l’évidence, réalisé les conditions de l’art. 16 aLPC - dans sa teneur en vigueur jusqu’au 31 décembre 2007 - et celles de l’art. 31 LPC - dans sa teneur depuis le 1er janvier 2008 par son silence qualifié, en exprimant certes tacitement mais de façon mensongère qu’il n’était titulaire que de comptes en Suisse. Il y a par conséquent lieu de retenir que le recourant s’est rendu coupable d’une infraction aux art. 16 aLPC et 31 LPC chaque année, en ne réagissant pas aux décisions des 3 janvier 2001, 3 janvier 2002, 2 janvier 2003, 5 janvier 2004, 3 janvier 2005, 12 décembre 2008, 11 décembre 2009, 4 janvier 2010 et 17 décembre 2010, percevant ainsi des prestations complémentaires établies sur la base d’un état des revenus et du patrimoine inexact. En effet, à la lecture du détail des calculs, le recourant devait se rendre compte que son compte auprès du CA n’avait pas été pris en considération. Par conséquent, en ne réagissant pas, il maintenait l’intimé dans l’erreur et commettait l’infraction précitée par silence qualifié, de sorte que le délai de prescription de sept ans trouve application.</w:t>
      </w:r>
    </w:p>
    <w:p>
      <w:r>
        <w:t>A/1351/2011 - 20/30 - Le recours doit donc être partiellement admis en ce sens que seules les prestations indûment versées depuis le 31 janvier 2004 peuvent faire l’objet d’une demande de restitution. 12. Le recourant conteste, en deuxième lieu, le gain potentiel attribué à son épouse depuis 2008, étant précisé qu’il ne s’y est jamais opposé par le passé. a/aa) Comme indiqué précédemment, pour que l’intimé puisse demander la restitution des prestations indûment touchées, les conditions d’une révision procédurale ou d’une reconsidération doivent être réalisées.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ne porte que sur le dispositif d’une décision et non sur ses motifs, sauf si ceux-ci sont également dotés de la force de chose décidée (voir KIESER, ATSG-Kommentar, 2009, n° 9 ad Art. 53). En effet, l'autorité de la chose jugée (ou décidée) ne s'attache, en principe,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Cependant, demeure réservée l'éventualité d'un renvoi aux motifs dans le dispositif : dans ce cas, la motivation à laquelle il est renvoyé acquiert force matérielle (ATF 113 V 159), notamment lorsqu'il faut recourir aux motifs de la décision pour connaître le sens exact, la nature et la portée précise du dispositif (ATF 128 III 191, consid. 4a). Lorsque se pose la question de savoir si une partie de la décision querellée est un élément du dispositif ou de la motivation, on ne peut se fonder uniquement sur le texte de la décision. Il convient bien plus de déterminer si la partie du texte en question a pour objet, dans le cas particulier a) la création, modification ou l’annulation de droits ou d’obligations, b) la constatation de l’existence, l’inexistence ou l’étendue de droits, d’obligations ou c) le rejet ou l’irrecevabilité de demandes tendant à créer, modifier, annuler ou constater des droits ou obligations. Dans le cas d’une décision portant sur des prestations d’assurance, seule la prestation constitue en principe l’objet du dispositif (ATF 115 V 416, consid. 3b/aa). a/bb) Dans le cas d’espèce, les décisions faisant l’objet d’une révision, compte tenu de la décision de restitution, sont établies en deux parties : dans une première partie, figurent les montants dus à titre de prestations complémentaires et de subsides de l’assurance-maladie et, dans une seconde partie, les calculs ayant permis d’aboutir</w:t>
      </w:r>
    </w:p>
    <w:p>
      <w:r>
        <w:t>A/1351/2011 - 21/30 - au montant dû. Les décisions détaillent ainsi les montants pris en considération pour établir le droit. Il ne s’agit donc pas uniquement de considérations juridiques. Dès lors que ces calculs portent sur les montants pris en considération, ils doivent être considérés comme portant sur la constatation de l’existence de certains droits ou obligations, de sorte qu’ils font partie du dispositif. Concrètement, le SPC a procédé à un nouveau calcul et a implicitement confirmé les postes - tels le gain potentiel - qui n’ont pas été modifiés par les décisions des 31 janvier et 1er février 2011. Par conséquent, le recourant était en droit de contester tous les postes considérés par le SPC, dès lors que ceux-ci font partie d’un nouveau calcul et partant, d’une nouvelle décision. b/aa) Il convient donc de déterminer si l’intimé pouvait exiger de l’épouse du recourant qu’elle exerçât une activité lucrative et lui attribuer un gain potentiel.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Dans un arrêt paru dans la RCC 1992 p. 348, le Tribunal fédéral des assurances a plus particulièrement admis que lorsque l’épouse d’un assuré s’abstient de mettre en valeur sa capacité de gain alors qu’elle pourrait se voir obligée d’exercer une activité lucrative en vertu de l’article 143 CC, l’article 3 al. 1 let. f LPC était également applicable. En effet, la capacité de gain de l’épouse doit être utilisée, dans la mesure où elle est tenue, selon l’article 160 al. 2 CC, de contribuer à l’entretien convenable de la famille (article 163 CCS). Dans ce contexte, le Tribunal fédéral a ainsi retenu une capacité de gain de 1'000 fr. de l’épouse, âgée de 58 ans au moment du divorce, n’étant titulaire d’aucun diplôme reconnu en Suisse et ayant été à l’écart du marché du travail pendant la vie commune, soit pendant 18 ans, même si ses possibilités de trouver un emploi fixe étaient restreintes (ATF non publié 5A_508/2008 du 3 juin 2008). En ce qui concerne le critère de la mise en valeur de la capacité de gain sur le marché de l’emploi, le Tribunal fédéral des assurances a considéré qu’il importe de</w:t>
      </w:r>
    </w:p>
    <w:p>
      <w:r>
        <w:t>A/1351/2011 - 22/30 - savoir si et à quelles conditions l’intéressée est en mesure de trouver un travail. A cet égard, il faut prendre en considération, d’une part, l’offre des emplois vacants appropriés et, d’autre part, le nombre de personnes recherchant un travail (arrêt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précités peuvent être mis en œuvre, s’agissant de la reprise ou de l’extension d’une activité lucrative, par l’octroi à la personne concernée d’une période – réaliste – d’adaptation, avant d’envisager la prise en compte d’un revenu hypothétique (VSI 2/2001 p. 126 consid. 1b).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(ATFA non publié 9C_150/2009 du 26 novembre 2009, consid. 6.2 ; ATF 9C_30/2009 du 6 octobre 2009, consid. 4.2 ; ATFA non publié P 88/01du 8 octobre 2002). Les considérations développées ci-dessus en matière de prestations fédérales s’appliquent mutatis mutandis en matière de prestations complémentaires</w:t>
      </w:r>
    </w:p>
    <w:p>
      <w:r>
        <w:t>A/1351/2011 - 23/30 - cantonales, les principes valables en droit cantonal étant les mêmes que ceux qui s’appliquent en la matière en droit fédéral (ATAS/845/2005 du 5 novembre 2005). b/bb) En l’espèce, lors de son audition, l’épouse du recourant a expliqué avoir travaillé à ses côtés dans leur boulangerie et avoir renoncé à toute activité professionnelle lorsque son époux est tombé malade. Suite à la dépression de ce dernier, elle a souhaité rester à ses côtés, bien que son état ne nécessitât pas une présence constante à ses côtés. Au vu des explications données par l’épouse du recourant, ce ne sont donc à l’évidence ni des motifs conjoncturels ni des considérations d’ordre médical qui l’ont empêchée de mettre en valeur sa capacité de gain, de sorte que son inactivité constitue une renonciation à des ressources au sens de l’art. 11 al. 1 let. g LPC. De plus, contrairement à ce qu’allègue le recourant, le fait que son épouse ait été âgée de 59 ans en 2008 ne justifie pas encore de renoncer à retenir un gain potentiel, une capacité de gain ayant notamment été retenue par le Tribunal fédéral dans un cas similaire (voir ATF non publié 5A_508/2008 du 3 juin 2008 susmentionné). C’est par conséquent à juste titre que l’intimé a retenu un gain potentiel de 1'007 fr. 75 par mois, soit 12'093 fr. par année, étant rappelé que, par son attitude, l’épouse du recourant a contribué à son éloignement du marché du travail. Cela étant, on admettra qu’à compter de l’année 2011 - durant laquelle l’intéressée a atteint l’âge de 62 ans -, ses chances de retrouver un emploi sont devenues quasiment inexistantes, de sorte qu’à compter de cette date, aucun gain potentiel ne sera retenu. Le recours doit donc être rejeté sur ce point. 13. En troisième lieu, le recourant s’oppose à la prise en considération, dans le calcul des prestations complémentaires, de la valeur de rachat de l’assurance-vie dont il était co-titulaire. a) Selon l’art. 15c al. 1 et 3 OPC-AVS/AI, entré en vigueur le 1er janvier 1999, la valeur de rachat des rentes viagères avec restitution est prise en compte comme élément de fortune. Sont inclus dans les revenus déterminants : (a) la rente périodique versée, à concurrence de 80% ; (b) une éventuelle participation aux excédents, en totalité. C’est le lieu de préciser que 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w:t>
      </w:r>
    </w:p>
    <w:p>
      <w:r>
        <w:t>A/1351/2011 - 24/30 - susceptible de rachat au sens de l'art. 90 al. 2 de la loi fédérale du 2 avril 1908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 JUNGO/ MAUTE, Assurances-vie et impôts, 2005, p. 128 s., 143; voir aussi Gladys LAFFELY MAILLARD, Les assurances sur la vie, notamment les assurances de capitaux à prime unique, et leur traitement fiscal, Archives 66, p. 609s.; Bernard VIRET, Droit des assurances privées, 3e éd., 1991, p. 192). Dans un arrêt rendu le 20 août 2001 (arrêt P 48/00),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 distingue cette forme de prévoyance vieillesse professionnelle (2ème pilier et pilier 3a) dans laquelle les droits aux prestations (en formation) ne peuvent être par principe ni nantis ni cédés avant leur échéance (VSI 2001 p. 185).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Dans les deux cas tranchés par le Tribunal fédéral (arrêts P/44/00 et P/33/03), les polices d'assurance de rente viagère avaient une valeur de rachat, puisque c'est celle-ci qui a été prise en compte à titre de fortune pour le calcul des prestations complémentaires. Récemment, dans un arrêt du 12 mai 2010 (ATAS/510/2010), la Cour de céans a considéré que l’art. 15c OPC-AVS/AI posait implicitement la condition que la police d'assurance ait une valeur de rachat. Ainsi, en l'absence de valeur de rachat, il ne peut être considéré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w:t>
      </w:r>
    </w:p>
    <w:p>
      <w:r>
        <w:t>A/1351/2011 - 25/30 -</w:t>
      </w:r>
    </w:p>
    <w:p>
      <w:r>
        <w:t>b) En l’espèce, selon la police d’assurance-vie, l’assurance en question est une assurance mixte sur deux têtes, avec un capital assuré de 80'000 fr., payable immédiatement au premier décès mais au plus tard à l’expiration du contrat. Selon les notes manuscrites du recourant, l’assurance-vie avait été nantie par la SBS. Conformément à un bordereau d’envoi daté du 29 mars 1996, le crédit garanti par l’assurance précité avait été remboursé. Enfin, une valeur de rachat avait été déclarée à l’administration fiscale.</w:t>
      </w:r>
    </w:p>
    <w:p>
      <w:r>
        <w:t>Eu égard aux considérations qui précèdent, l’assurance-vie conclue par le recourant est une assurance avec restitution susceptible de rachat, ce qui n’est pas contesté, de sorte qu’elle doit être prise en considération dans le calcul des prestations complémentaires. Le fait que les bénéficiaires de l’assurance en question soient exemptés du paiement des primes en cas d’incapacité de gain n’est pas relevant, d’autant moins que le recourant n’est pas tenu de procéder au rachat de l’assurance pour obtenir, cas échéant, des liquidités mais peut la nantir, comme il l’a déjà fait par le passé. Le recours doit donc être rejeté sur ce point. 14. En dernier lieu, le recourant conteste la valeur du bien immobilier prise en considération ainsi que la valeur locative y relative. Il estime, pour sa part, qu’un abattement de 10'000 EUR doit être appliqué par année et qu’aucune valeur locative ne doit être retenue. a/aa) La fortune est évaluée selon les règles de la législation sur l’impôt cantonal direct du canton du domicile (art. 17 al. 1 OPC-AVS/AI). Lorsqu’un immeuble ne sert pas d’habitation au requérant ou à une personne comprise dans le calcul de la prestation complémentaire, il sera pris en compte à sa valeur vénale (art. 17 al. 4 OPC-AVS/AI). La valeur vénale d'un immeuble doit reposer sur une valeur officielle ou une valeur reconnue comme telle; au besoin, elle sera établie au moyen d'une estimation (dans ce sens, voir le ch. 2110 des directives de l'OFAS concernant les prestations complémentaires à l'AVS/AI [DPC]). Afin de respecter l'égalité de traitement, l'administration des prestations complémentaires doit toujours mandater le même service officiel pour calculer la valeur vénale d'un immeuble (ATF non publié P 9/04 du 7 avril 2004, consid. 3.2 ; VSI 1993 p. 140). Selon la jurisprudence, par valeur vénale d'un immeuble selon l'art. 17 al. 4 OPC-AVS/AI, l'on entend le prix de vente du bien dans le cadre de transactions qui se déroulent dans des conditions normales (ATFA non publié P 50/00 Gr, du 8 février 2001, consid. 2a). a/bb)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w:t>
      </w:r>
    </w:p>
    <w:p>
      <w:r>
        <w:t>A/1351/2011 - 26/30 - 2 de loi sur l'imposition des personnes physiques - impôt sur le revenu (LIPP-IV), entrée en vigueur le 1er janvier 2001,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et a déjà été confirmé par le Tribunal fédéral (ATFA non publié P 57/05 du 29 août 2006). a/cc) S’agissant du taux de conversion applicable pour le calcul de la fortune immobilière et de la valeur locative y relative, il y a lieu d’appliquer les directives concernant les prestations complémentaires à l’AVS et à l’AI (DPC) de l’OFFICE FEDERAL DES ASSURANCES SOCIALES (OFAS). Le chiffre 2087.1 des DPC dans leur teneur aux 1er janvier 2006, 2007, 2008, 2009 et 2010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Lors d’une modification sensible des cours en cours d’année, on procédera conformément aux numéros 7016ss DPC. Le chiffre 7016 DPC prévoit que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Bien que ces directives concernent les rentes servies, elles sont applicables mutatis mutandis aux autres éléments composant les revenus déterminants tels que la fortune immobilière.</w:t>
      </w:r>
    </w:p>
    <w:p>
      <w:r>
        <w:t>A/1351/2011 - 27/30 - a/dd)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bb) En l’espèce, il y a lieu de constater, sur la base des pièces versées au dossier, que l'immeuble n'a pas fait l'objet d'une estimation par un service officiel. Malgré le délai octroyé, le recourant n’a pas souhaité produire une telle estimation, de sorte qu’il devra supporter les conséquences de l’absence de preuve. Il y a ainsi lieu de déterminer la valeur du bien immobilier en fonction des pièces du dossier. Si l’on se réfère à l’évaluation à laquelle à procédé Monsieur N__________ le</w:t>
      </w:r>
    </w:p>
    <w:p>
      <w:r>
        <w:rPr>
          <w:b/>
        </w:rPr>
        <w:t>E. 18</w:t>
      </w:r>
    </w:p>
    <w:p>
      <w:r>
        <w:t>septembre 2010, l’ancienne ferme rénovée pouvait alors être estimée entre 70'000 et 80'000 EUR, raison pour laquelle l’intimé s’est basé sur une valeur moyenne de 75'000 EUR, corroborée, au demeurant, par l’assuré dans le formulaire de révision. Ce n’est qu’au cours de la procédure d’opposition que le recourant est revenu sur sa position et a allégué que la valeur de l’immeuble litigieux était en réalité allée en augmentant de manière linéaire de 10'000 EUR en 2000 à 70'000 EUR en 2010. En l’absence d’expertise attestant de cette évolution, le raisonnement du recourant ne saurait être suivi. Cependant, si l’on part de la valeur moyenne retenue en 2010 par Monsieur N__________ - 75'000 EUR - et si l’ont tient compte de l’évolution de l’indice des prix des maisons anciennes dans le département du Jura (voir http://www.immoprix.com, site des notaires de France), il y a lieu de considérer que la valeur de l’immeuble litigieux a été approximativement la suivante entre 2000 et 2010 : Année Valeur vénale EUR (montant de départ) Indice de départ Calcul 2000 43'676.47 99 (75'000 x 99) / 170 2001 44'558.82 101 (75'000 x 101) / 170 2002 46'764.71 106 (75'000 x 106) / 170</w:t>
      </w:r>
    </w:p>
    <w:p>
      <w:r>
        <w:t>A/1351/2011 - 28/30 - Année Valeur vénale EUR (montant de départ) Indice de départ Calcul 2003 49'852.94 113 (75'000 x 113) / 170 2004 55'588.24 126 (75'000 x 126) / 170 2005 62'647.06 142 (75'000 x 142) / 170 2006 72'352.94 164 (75'000 x 164) / 170 2007 78'088.24 177 (75'000 x 177) / 170 2008 79'852.94 181 (75'000 x 181) / 170 2009 81'176.47 184 (75'000 x 184) / 170 2010 75'000.00 170</w:t>
      </w:r>
    </w:p>
    <w:p>
      <w:r>
        <w:t>Les montants précités ont été obtenus en appliquant la règle de trois suivante : Montant adapté au renchérissement (75'000 EUR) x Indice de départ Montant de départ = Indice d’arrivée (170) Partant, il y a lieu de retenir que la valeur du bien immobilier litigieux a été tantôt inférieure à 75'000 EUR, tantôt supérieure, s’élevant en moyenne, sur les sept ans précédant la décision de restitution, à 72'100.84 EUR, soit une valeur légèrement inférieure à celle de 75'000 EUR retenue par l’intimé. Sur ce point, le recours sera donc admis, la décision annulée et la cause renvoyée à l’intimé pour nouveau calcul tenant compte de l’évolution de la valeur conformément au tableau ci-dessus, en appliquant qui plus est les taux de conversion fixés par la Commission administrative des communautés européennes pour la sécurité sociale des travailleurs migrants et publiés au Journal officiel de l’Union européenne, détaillés sous consid. 13 a/cc) supra. d) Quant à la valeur locative, la Cour de céans constate, à la lecture des pièces produites par le recourant, que le bien immobilier en question n’est pas raccordé au réseau d’eau de la commune, qu’il ne dispose que d’une citerne en maçonnerie, alimentée par les eaux pluviales de la toiture et que de surcroît, son accès est quasiment impossible en hiver. Dès lors, il y a lieu de considérer, avec le recourant, que la valeur locative d’un tel bien est nulle dès lors que les chances de le louer en été alors que se trouvent à moins de 50 km plusieurs campings dotés, eux, de toutes les commodités, semblent inexistantes.</w:t>
      </w:r>
    </w:p>
    <w:p>
      <w:r>
        <w:t>A/1351/2011 - 29/30 - Le recours doit dès lors être admis sur ce point. 15. Au vu des considérations qui précèdent, le recours est donc partiellement admis, en ce sens que la demande de restitution ne peut remonter au 1er mars 2001 mais doit se limiter au 1er février 2004. La cause est renvoyée à l’intimé pour nouveau calcul tenant compte d’une valeur du bien immobilier oscillant entre 55'588 EUR en 2004 et 75'000 EUR en 2010 et ne prenant en revanche en compte ni valeur locative, ni avoirs professionnels et intérêts y relatifs. Pour le surplus, les décisions querellées sont confirmées. Le recourant obtenant partiellement gain de cause, une indemnité de 2'500 fr. lui sera accordée à titre de participation à ses frais et dépens (art. 61 let. g LPGA). Pour le surplus, la procédure est gratuite.</w:t>
      </w:r>
    </w:p>
    <w:p>
      <w:r>
        <w:t>A/1351/2011 - 30/30 - PAR CES MOTIFS, LA CHAMBRE DES ASSURANCES SOCIALES : Statuant A la forme : 1. Déclare le recours recevable. Au fond : 2. L’admet partiellement et annule les décisions des 31 janvier et 1er février 2011 ainsi que la décision sur opposition du 25 mars 2011. 3. Renvoie la cause au SPC pour nouvelle décision au sens des considérants. 4. Condamne l'intimé à verser au recourant une indemnité de 2'500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