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ATAS/1077/2018 vom 21. November 2018</w:t>
      </w:r>
    </w:p>
    <w:p>
      <w:r>
        <w:t>GE Cour de justice, 2018-11-21, FR</w:t>
      </w:r>
    </w:p>
    <w:p>
      <w:r>
        <w:rPr>
          <w:b/>
        </w:rPr>
        <w:t xml:space="preserve">Quelle: </w:t>
      </w:r>
      <w:r>
        <w:t>https://mcp.opencaselaw.ch/entscheid/ge_gerichte_ATAS_1077_2018</w:t>
      </w:r>
    </w:p>
    <w:p>
      <w:r>
        <w:t>FR: GE_GERICHTE ATAS/1077/2018 du 21 novembre 2018</w:t>
      </w:r>
    </w:p>
    <w:p>
      <w:r>
        <w:t>IT: GE_GERICHTE ATAS/1077/2018 del 21 novembre 2018</w:t>
      </w:r>
    </w:p>
    <w:p>
      <w:pPr>
        <w:pStyle w:val="Heading2"/>
      </w:pPr>
      <w:r>
        <w:t>Erwägungen</w:t>
      </w:r>
    </w:p>
    <w:p>
      <w:r>
        <w:rPr>
          <w:b/>
        </w:rPr>
        <w:t>E. 31</w:t>
      </w:r>
    </w:p>
    <w:p>
      <w:r>
        <w:t>mai 2017. c. La recourante a fait valoir que le montant de sa rente 2ème pilier n'avait augmenté qu'à partir du mois de mars 2015 et que l'intimé avait par conséquent pris en compte à tort le montant de CHF 17'891.- au titre de cette rente dès le mois de janvier 2015. La manière de procéder de l'intimé n'apparaît pas critiquable, dès lors qu'il a pris en compte pour toute l'année 2015, le montant total reçu cette année-là par la recourante au titre de sa rente 2ème pilier, conformément à l'attestation établie par la caisse le 29 janvier 2016. L'intimé a ainsi simplement rétabli l'ordre légal après la découverte du fait nouveau. La décision du 31 mai 2017 doit en conséquence être confirmée. 7. a. À teneur de l’art. 25 LPGA, les prestations indûment touchées doivent être restituées, la restitution ne pouvant toutefois être exigée lorsque l’intéressé était de bonne foi et qu’elle le mettrait dans une situation difficile (al. 1). Selon l’art. 4 al. 1 et 2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c. Selon l’art. 4 OPGA, la restitution entière ou partielle des prestations allouées indûment, mais reçues de bonne foi, ne peut être exigée si l’intéressé se trouve dans une situation difficile. L’art. 5 al. 1 à 4 OPGA précise comment établir qu'il y a une situation difficile au sens de l'art. 25 al. 1 LPGA (voir aussi les directives</w:t>
      </w:r>
    </w:p>
    <w:p>
      <w:r>
        <w:t>A/676/2018 - 12/15 - concernant les prestations complémentaires à l’AVS et à l’AI -DPC, valables dès le 1er avril 2011, état au 1er janvier 2018, p. 148, 149, 249 et 250). Est déterminant, pour apprécier s’il y a une situation difficile, le moment où la décision de restitution est exécutoire (art. 4 al. 2 OPGA). Selon la jurisprudence publiée aux ATF 122 V 221 – confirmée et précisée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8C_954/2008 du 29 mai 2009).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w:t>
      </w:r>
    </w:p>
    <w:p>
      <w:r>
        <w:t>A/676/2018 - 13/15 - 3.3). Aussi n’existe-t-il pas, en droit des assurances sociales, un principe selon lequel l’administration ou le juge devrait statuer, dans le doute, en faveur de l’assuré (ATF 126 V 322 consid. 5a). 9.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10. En l'occurrence, il résulte des faits que la recourante n'a pas tardé à se préoccuper des modifications du montant de sa rente annoncées par la caisse et qu'elle a tenté de comprendre, dans un premier temps, le courrier qu'elle avait reçu de la caisse, lequel n'était objectivement pas limpide, en requérant l'aide de M. E_______ et en demandant un rendez-vous à la caisse, puis des renseignements complémentaires à cette dernière. Certes, la recourante aurait dû communiquer sans délai à l'intimé la décision de la caisse du 14 novembre 2016, mais cette omission apparaît légère dans les circonstances du cas d'espèce. Il n'apparaît en effet pas que l'on puisse reprocher à la recourante une négligence grave pour avoir, dans un premier temps, voulu comprendre la portée de la décision de la caisse, étant précisé qu'elle a entamé des démarches dans ce sens dans un délai raisonnable. Il convient également de tenir compte du fait que son état psychique était altéré, ce qui a été attesté par un médecin et ce qui a conduit à l'instauration d'une curatelle de représentation. Il ne peut pas non plus lui être reproché de ne pas avoir complètement informé l'intimé par son courrier du 29 décembre 2016, dès lors qu'elle lui demandait dans celui-ci un rendez-vous, auquel elle s'est rendue avec la décision de la caisse, laquelle est ainsi parvenue à l'intimé dans un délai raisonnable. Il n'apparaît pas que la recourante ait eu l'intention de cacher à l'intimé le fait qu'elle avait touché un montant rétroactif de la caisse, mais plutôt que son état psychique était à l'origine d'une désorganisation qui explique les renseignements incomplets donnés à l'intimé dans un premier temps. Au vu des considérations qui précèdent, c'est à tort que l'intimé a retenu que la condition de la bonne foi n'était pas remplie. 11. L’intimé n'a pas examiné la condition de la situation difficile dans la décision querellée. Dans ses dernières écritures, il s'est contenté de faire valoir que lors de</w:t>
      </w:r>
    </w:p>
    <w:p>
      <w:r>
        <w:t>A/676/2018 - 14/15 - l’entrée en force de la décision de restitution du 31 mai 2017, soit au 30 juin 2017, la recourante disposait encore, à la suite du rétroactif perçu de la caisse d’une somme suffisante sur son compte BCGE pour le rembourser l'intimé, ce qui n'était pas le cas, à teneur des pièces au dossier. La cause devra ainsi lui être renvoyée pour qu'il reprenne l'examen de la condition difficile, en déterminant notamment comment la recourante a dépensé le montant qui lui a été versé rétroactivement par la caisse jusqu'à l'entrée en vigueur de la demande de restitution et pour qu'il examine si les conditions de la situation difficile sont réunies, selon l'art. 5 OPGA, à la lumière des DPC. 12. Partant, le recours sera partiellement admis, la décision litigieuse annulée et la cause renvoyée à l’intimé pour instruction complémentaire et nouvelle décision dans le sens des considérants. 13. Il n'y a pas lieu d'octroyer des dépens à la recourante qui est représentée par un organisme public (art. 61 let. g LPGA et 89H al. 3 LPA; ATF 126 V 11). 14. Pour le surplus, la procédure est gratuite.</w:t>
      </w:r>
    </w:p>
    <w:p>
      <w:r>
        <w:t>A/676/2018 - 15/15 -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