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ATAS/1075/2018 vom 21. November 2018</w:t>
      </w:r>
    </w:p>
    <w:p>
      <w:r>
        <w:t>GE Cour de justice, 2018-11-21, FR</w:t>
      </w:r>
    </w:p>
    <w:p>
      <w:r>
        <w:rPr>
          <w:b/>
        </w:rPr>
        <w:t xml:space="preserve">Quelle: </w:t>
      </w:r>
      <w:r>
        <w:t>https://mcp.opencaselaw.ch/entscheid/ge_gerichte_ATAS_1075_2018</w:t>
      </w:r>
    </w:p>
    <w:p>
      <w:r>
        <w:t>FR: GE_GERICHTE ATAS/1075/2018 du 21 novembre 2018</w:t>
      </w:r>
    </w:p>
    <w:p>
      <w:r>
        <w:t>IT: GE_GERICHTE ATAS/1075/2018 del 21 novembre 2018</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loi fédérale sur les prestations complémentaires à l’assurance-vieillesse, survivants et invalidité du 19 mars 1965 (LPC ; RS 831.30) n’y déroge expressément (art. 1 al. 1 LPC). Il en va de même en matière de prestations complémentaires cantonales (cf. art. 1A let. b de la loi sur les prestations cantonales complémentaires à l’AVS et à l’AI [LPCC; J 7 15]).</w:t>
      </w:r>
    </w:p>
    <w:p>
      <w:r>
        <w:rPr>
          <w:b/>
        </w:rPr>
        <w:t>E. 3</w:t>
      </w:r>
    </w:p>
    <w:p>
      <w:r>
        <w:t>Déposé dans la forme et le délai prescrits, le recours est recevable (art. 9 LPCF, art. 38 al. 4, 56 al. 1 et 61 al. 1 LPGA; art. 43 LPCC).</w:t>
      </w:r>
    </w:p>
    <w:p>
      <w:r>
        <w:rPr>
          <w:b/>
        </w:rPr>
        <w:t>E. 4</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w:t>
      </w:r>
    </w:p>
    <w:p>
      <w:r>
        <w:t>A/68/2018 - 6/14 - juridiques déterminés par la décision, les rapports juridiques non contestés sont certes compris dans l’objet de la contestation, mais non pas dans l’objet du litige (ATF 125 V 414 consid. 1b et 2 et les références citées). b. En l'espèce, l'objet du litige porte sur le bien-fondé de la demande de restitution de l'intimé à hauteur de CHF 10'452.- pour la période de mars 2016 à décembre 2017. Il ne porte en revanche pas sur la demande de remise de l'obligation de restituer les prestations indues, car cette question doit faire l'objet d'une procédure distincte, dans la mesure où la demande de remise ne peut être traitée sur le fond que si la décision de restitution est entrée en force (cf. art. 4 al. 2 de l'ordonnance sur la partie générale du droit des assurances sociales du 11 septembre 2002 [OPGA - RS 830.11]; arrêt du Tribunal fédéral 9C_211/2009 du 26 février 2010 consid. 3.1).</w:t>
      </w:r>
    </w:p>
    <w:p>
      <w:r>
        <w:rPr>
          <w:b/>
        </w:rPr>
        <w:t>E. 5</w:t>
      </w:r>
    </w:p>
    <w:p>
      <w:r>
        <w:t>a. En règle générale, sont pris en compte pour le calcul de la prestation complémentaire annuelle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La prestation complémentaire annuelle doit toujours être calculée compte tenu des rentes, pensions et autres prestations périodiques en cours (art. 23 al. 1, 2 et 3 OPC- AVS/AI et art. 9 LPCC). b. En cas de changements dans la fortune ou les revenus déterminants, la prestation complémentaire annuelle doit être augmentée, réduite ou supprimée lorsque les dépenses reconnues, les revenus déterminants ou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(art. 25 al. 1 let. c OPC-AVS/AI). La nouvelle décision doit porter effet dès le début du mois au cours duquel le changement a été annoncé, mais au plus tôt à partir du mois dans lequel celui-ci est survenu (art. 25 al. 2 let. b OPC- AVS/AI). À la suite d'une diminution de fortune, un nouveau calcul de la prestation complémentaire annuelle ne peut être effectué qu'une fois par an (art. 25 al. 3 OPC- AVS/AI).</w:t>
      </w:r>
    </w:p>
    <w:p>
      <w:r>
        <w:rPr>
          <w:b/>
        </w:rPr>
        <w:t>E. 6</w:t>
      </w:r>
    </w:p>
    <w:p>
      <w:r>
        <w:t>Selon la jurisprudence du Tribunal fédéral, la part d'héritage d'un bénéficiaire des prestations complémentaires doit être prise en compte dès l'ouverture de la succession qu'il acquiert de plein droit (art. 560 al. 1 du Code civil suisse [CC; RS 210]), soit au décès du de cujus (art. 537 al. 1 CC) et non seulement à partir du moment où le partage est réalisé (RCC 1992 p. 347 consid. 2c; arrêts du Tribunal fédéral des assurances P 22/06 du 23 janvier 2007 consid. 5, P 61/04 du 23 mars 2006 consid. 4, P 54/02 du 17 septembre 2003 consid. 3.3; ATAS/849/2017; ATAS/537/2018).</w:t>
      </w:r>
    </w:p>
    <w:p>
      <w:r>
        <w:t>A/68/2018 - 7/14 - Le Tribunal fédéral justifie sa jurisprudence par le fait que les membres d’une communauté héréditaire sont propriétaires et disposent en commun des biens qui dépendent de la succession (cf. art. 602 al. 1 CC). Dans une propriété indivise, chaque propriétaire peut disposer individuellement de la part au produit de la liquidation lorsque l’indivision est dissoute, par exemple par cession et mise en gage (cf. art. 635 CC). De cette façon, le droit d’un héritier sur la part de la succession ou de la liquidation qui lui revient peut être aliéné et utilisé déjà avant le partage (RCC 1992 p. 347 consid. 2c et 2d). En outre, si on prenait en compte la part de l’héritage au moment du partage, les bénéficiaires de prestations complémentaires pourraient être tentés de retarder le plus longtemps possible le partage pour pouvoir continuer à percevoir lesdites prestations (Erwin CARIGIET, Ergänzungleistungen zur AHV/IV, 2009, p. 165). Il sied d’ajouter que selon le Tribunal fédéral, le nouveau calcul des prestations complémentaires ne peut en revanche être entrepris à la date d’ouverture de la succession, si le montant de la fortune héritée ne peut encore être déterminé à ce moment-là (arrêt non publié P 54/02 du 17 septembre 2003, consid. 3.3 ; ATAS/767/2015).</w:t>
      </w:r>
    </w:p>
    <w:p>
      <w:r>
        <w:rPr>
          <w:b/>
        </w:rPr>
        <w:t>E. 7</w:t>
      </w:r>
    </w:p>
    <w:p>
      <w:r>
        <w:t>a. Selon l'art. 25 al. 1 phr. 1 LPGA, en relation avec l'art. 2 al. 1 let. a OPGA, les prestations complémentaires fédérales indûment touchées doivent être restituées par le bénéficiaire ou par ses héritiers. L'obligation de restituer suppose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arrêt du Tribunal fédéral 8C_512/2008 du 4 janvier 2009 consid. 4).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b. Au niveau cantonal, l’art. 24 al. 1 phr. 1 LPCC prévoit que les prestations indûment touchées doivent être restituées. L’art. 14 du règlement relatif aux</w:t>
      </w:r>
    </w:p>
    <w:p>
      <w:r>
        <w:t>A/68/2018 - 8/14 -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8</w:t>
      </w:r>
    </w:p>
    <w:p>
      <w:r>
        <w:t>a. En vertu de l'art. 25 al. 2 phr.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arrêt du Tribunal fédéral C_271/04 du 21 mars 2006 consid. 2.5).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(arrêt du Tribunal fédéral 9C_632/2012 du 10 janvier 2013 consid. 4.2). b.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w:t>
      </w:r>
    </w:p>
    <w:p>
      <w:r>
        <w:rPr>
          <w:b/>
        </w:rPr>
        <w:t>E. 9</w:t>
      </w:r>
    </w:p>
    <w:p>
      <w:r>
        <w:t>a. En l’espèce, la décision querellée est motivée par le fait que le recourant a hérité de son grand-père, décédé en mars 2016, ce que l'intimé n'a appris que le 10 janvier 2017, de sorte qu'il n'a pas pu tenir compte de ce fait dans le calcul des prestations complémentaires du recourant dès l'ouverture de la succession. Ceci constitue un fait nouveau permettant la révision d’une décision entrée en force et la demande de restitution des prestations indues.</w:t>
      </w:r>
    </w:p>
    <w:p>
      <w:r>
        <w:t>A/68/2018 - 9/14 - L'intimé était fondé, selon la jurisprudence, à recalculer les prestations dues au recourant en prenant en compte sa part d’héritage dès l’ouverture de la succession et non dès le partage effectif, même s’il s’agissait encore d’un montant fictif, dans la mesure où cette part était suffisamment déterminée, tous les héritiers et leurs quotes-parts étant connus. b. La révision du dossier du recourant a été initiée le 22 mai 2017 et la décision de restitution a été adressée au recourant le 23 octobre 2017, soit avant l’écoulement d’une année depuis la date déterminante. Quant au délai de péremption absolu, il est également respecté puisque la demande de restitution ne porte que sur moins de cinq ans, le rétroactif réclamé ayant trait à la période du 1er mars 2016 au 31 octobre 2017.</w:t>
      </w:r>
    </w:p>
    <w:p>
      <w:r>
        <w:rPr>
          <w:b/>
        </w:rPr>
        <w:t>E. 10</w:t>
      </w:r>
    </w:p>
    <w:p>
      <w:r>
        <w:t>octobre 2017 et CHF 6'768.- payés le 5 décembre 2017 et des frais d’imprimante pour un montant de $ 603.00 payés le 30 octobre 2017. Il s’agit là de dépenses effectives du recourant. Cette problématique entre dans l'objet du litige qui porte sur le calcul des prestations de mars 2016 à décembre 2017. Que le recourant n'ait invoqué ces faits qu’après son recours n'empêche pas la chambre de céans de les examiner, dès lors qu'elle n'est pas liée par les conclusions des parties (art. 61 let. d LPGA). L'intimé doit ainsi déduire ces montants de la fortune du recourant dans son calcul rétroactif de prestations complémentaires durant la période de 2017, puisqu’il s’agit de sommes effectivement payées par le recourant. S’agissant des dépenses effectuées en 2018, elles ne font pas partie de l’objet du litige et n'ont pas à être prises en considération dans le calcul rétroactif de l'intimé.</w:t>
      </w:r>
    </w:p>
    <w:p>
      <w:r>
        <w:rPr>
          <w:b/>
        </w:rPr>
        <w:t>E. 11</w:t>
      </w:r>
    </w:p>
    <w:p>
      <w:r>
        <w:t>a. L'intimé a fait valoir qu'il avait tenu compte des dépenses du recourant pour subvenir à ses besoins en attendant la part de son héritage, puisqu'entre l’année 2016 et 2017, il y avait eu une diminution non expliquée de son épargne de CHF 15'000.-. Cette somme dépassait le montant que le recourant aurait dû puiser</w:t>
      </w:r>
    </w:p>
    <w:p>
      <w:r>
        <w:t>A/68/2018 - 11/14 - dans sa fortune pour couvrir ses dépenses. L'intimé allègue ainsi un dessaisissement du recourant. b. Aux termes de l'art. 11 al. 1 let. g LPC, les revenus déterminants pour calculer le montant de la prestation complémentaire annuelle comprennent les ressources et parts de fortune dont un ayant droit s'est dessaisi. Par dessaisissement, il faut entendre, en particulier, la renonciation à des éléments de revenu ou de fortune sans obligation juridique ni contre-prestation équivalente (ATF 123 V 35 consid. 1; ATF 121 V 204 consid. 4a). Pour vérifier s'il y a contre- 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4.3). Une contre-prestation peut être considérée comme adéquate lorsqu’elle n’entame pas la fortune ou au contraire l’augmente, mais également lorsqu’elle consiste en des dépenses destinées à l’acquisition de biens de consommation (Ralph JÖHL, Ergänzungsleistungen zur AHV/IV, SBVR, 2ème éd. 2006, p. 1807 n° 234).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 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w:t>
      </w:r>
    </w:p>
    <w:p>
      <w:r>
        <w:t>A/68/2018 - 12/14 - consid. 3b ; arrêt du Tribunal fédéral des assurances P 65/04 du 29 août 2005 consid. 5.3.1). À teneur de l'art. 17a de l'ordonnance sur les prestations complémentaires à l’assurance-vieillesse, survivants et invalidité du 15 janvier 1971 (OPC-AVS/AI - RS 831.301), la part de fortune dessaisie à prendre en compte (art. 11 al. 1 let. g LPC) est réduite chaque année de CHF 10'000.-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On présume ainsi que l'ayant droit, à supposer qu'il ne se soit pas dessaisi de sa fortune, en aurait mis une partie à contribution pour subvenir à ses besoins; l'amortissement prévu par cette disposition n'est cependant admis que sous la forme d'un forfait indépendant du montant exact de la fortune dessaisie ou de celle dont dispose encore l'ayant droit (cf. ATF 118 V 150 consid. 3; arrêt du Tribunal fédéral 9C_945/2011 du 11 juillet 2012 consid. 5.2.).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La somme dessaisie est ensuite réduite chaque année de CHF 10'000.-. En cas de dessaisissements successifs, le solde du premier est additionné au second lorsque celui-ci intervient et le total est réduit de CHF 10'000.- par année (Directives concernant les prestations complémentaires à l’AVS et à l’AI, valables dès le 1er avril 2011, n°3483.06 et 3483.07, p. 242). En outre, conformément à l'art. 3c al. 1 let. b LPC, il convient de tenir compte, dans le calcul des revenus déterminants, du produit hypothétique de la part de fortune dont l'assuré s'est dessaisi. Les dispositions applicables en matière de prestations complémentaires cantonales instaurent un régime similaire. L’art. 4 LPCC prévoit qu’ont droit aux prestations les personnes dont le revenu annuel déterminant n’atteint pas le revenu minimum cantonal d’aide sociale applicable. Le revenu déterminant est calculé conformément aux dispositions fédérales, de sorte qu’il comprend également les ressources dont un ayant droit s’est dessaisi (art. 5 al. 1 LPCC). Les dépenses reconnues sont celles énumérées par la loi fédérale et ses dispositions d'exécution, à l'exclusion du montant destiné à la couverture des droits vitaux, remplacé par le montant destiné à garantir le revenu minimum cantonal d'aide sociale défini à l'art. 2 (art. 6 LPCC).</w:t>
      </w:r>
    </w:p>
    <w:p>
      <w:r>
        <w:t>A/68/2018 - 13/14 - La jurisprudence en matière de biens dessaisis s’applique mutatis mutandis en matière de prestations complémentaires cantonales (ATAS/1290/2010 du 14 décembre 2010). Le requérant peut prouver, le cas échéant sans fournir de quittances, le fait qu’il n’y a pas eu d’acte de dessaisissement « sans obligation juridique », respectivement « sans avoir reçu en échange une contre-prestation équivalente » (voir ATF 121 V 204 consid. 6b, ATF 115 V 352), le Tribunal fédéral rappelant d'ailleurs dans ces arrêts, en particulier le premier cité, qu'en tant que l'administration (respectivement le juge en cas de recours) exige de l'administré des justificatifs pour preuve des contreparties des diminutions de fortune constatées, elle pose une exigence (de preuve) telle qu'on la connaît en matière civile ou pénale, mais elle contrevient aux règles régissant la preuve en matière d'assurances sociales, laquelle, dans ce domaine, ne doit pas être rapportée de manière absolue, mais seulement au degré de la vraisemblance prépondérante. c. En l'espèce, il est établi que le compte épargne du recourant est passé de CHF 29'048.- à la fin de l'année 2015 à CHF 11'566.- à la fin de l'année 2016, ce qui représente une réduction de CHF 17'482.-, soit une somme qui est juste un peu plus élevée que les prestations indues pour la période de mars 2016 à fin novembre 2017. Lors de l'audience devant la chambre de céans, le recourant n'a pas pu expliquer comment il avait utilisé son épargne en 2016. Quoi qu'il en soit, il faut retenir que l'intimé n'a pas pris en compte un dessaisissement dans la décision querellée et qu'il ne pouvait s'en prévaloir dans le cadre de la procédure de recours, ce d'autant moins qu'il n'a jamais donné au recourant l'occasion de justifier ses dépenses.</w:t>
      </w:r>
    </w:p>
    <w:p>
      <w:r>
        <w:rPr>
          <w:b/>
        </w:rPr>
        <w:t>E. 12</w:t>
      </w:r>
    </w:p>
    <w:p>
      <w:r>
        <w:t>Le recours sera en conséquence partiellement admis, la décision du 27 novembre 2017 annulée et la cause renvoyée à l'intimé pour nouvelle décision au sens des considérants.</w:t>
      </w:r>
    </w:p>
    <w:p>
      <w:r>
        <w:rPr>
          <w:b/>
        </w:rPr>
        <w:t>E. 13</w:t>
      </w:r>
    </w:p>
    <w:p>
      <w:r>
        <w:t>Nonobstant l’issue donnée au recours, il n’y a pas lieu à l'allocation d’une indemnité de procédure, le recourant n’ayant pas été représenté dans la procédure contentieuse par un avocat ou un mandataire professionnellement qualifié (art. 61 let. g LPGA et 89H al. 3 LPA).</w:t>
      </w:r>
    </w:p>
    <w:p>
      <w:r>
        <w:rPr>
          <w:b/>
        </w:rPr>
        <w:t>E. 14</w:t>
      </w:r>
    </w:p>
    <w:p>
      <w:r>
        <w:t>Pour le surplus, la procédure est gratuite (art. 61 let. a LPGA et 89H al. 1 LPA).</w:t>
      </w:r>
    </w:p>
    <w:p>
      <w:r>
        <w:t>A/68/2018 - 14/14 -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