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ATAS/1075/2017 vom 30. November 2017</w:t>
      </w:r>
    </w:p>
    <w:p>
      <w:r>
        <w:t>GE Cour de justice, 2017-11-30, FR</w:t>
      </w:r>
    </w:p>
    <w:p>
      <w:r>
        <w:rPr>
          <w:b/>
        </w:rPr>
        <w:t xml:space="preserve">Quelle: </w:t>
      </w:r>
      <w:r>
        <w:t>https://mcp.opencaselaw.ch/entscheid/ge_gerichte_ATAS_1075_2017</w:t>
      </w:r>
    </w:p>
    <w:p>
      <w:r>
        <w:t>FR: GE_GERICHTE ATAS/1075/2017 du 30 novembre 2017</w:t>
      </w:r>
    </w:p>
    <w:p>
      <w:r>
        <w:t>IT: GE_GERICHTE ATAS/1075/2017 del 30 novembre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conclue entre les parties, le contrat est régi par la LCA. La compétence de la Chambre de céans à raison de la matière pour juger du cas d’espèce est ainsi établie, le litige pourtant sur la restitution d’un montant versé dans le cadre de l’assurance complémentaire.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w:t>
      </w:r>
    </w:p>
    <w:p>
      <w:r>
        <w:t>A/849/2017 - 4/10 - En l’espèce, la défenderesse ayant son domicile à Genève, la Cour de céans est également compétente à raison du lieu pour connaître de la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w:t>
      </w:r>
    </w:p>
    <w:p>
      <w:r>
        <w:t>A/849/2017 - 5/10 -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t>A/849/2017 - 6/10 -</w:t>
      </w:r>
    </w:p>
    <w:p>
      <w:r>
        <w:rPr>
          <w:b/>
        </w:rPr>
        <w:t>E. 6</w:t>
      </w:r>
    </w:p>
    <w:p>
      <w:r>
        <w:t>Le litige porte sur le droit de la demanderesse - assurance complémentaire à l’assurance-maladie sociale - à obtenir de la défenderesse - représentante légale d’une mineure assurée auprès de la demanderesse - le remboursement du montant versé pour s’acquitter de la facture relative au séjour de l’enfant à l’hôpital de Zürich.</w:t>
      </w:r>
    </w:p>
    <w:p>
      <w:r>
        <w:rPr>
          <w:b/>
        </w:rPr>
        <w:t>E. 7</w:t>
      </w:r>
    </w:p>
    <w:p>
      <w:r>
        <w:t>Selon l’art. 35 des conditions générales d’assurance relatives aux assurances complémentaires des soins (CGA), le débiteur des fournisseurs de prestations est par principe l’assuré. Le preneur d’assurance, respectivement l’assuré, accepte cependant que l’assureur et les fournisseurs de prestations concluent des accords prévoyant le paiement direct aux fournisseurs de prestations. C’est précisément ce qu’a fait la demanderesse avec l’Hôpital des enfants de Zürich : elle s’est engagée par convention, sur présentation des factures émises par cet établissement, à s’acquitter directement auprès de celui-ci du montant dû. C’est donc bien à tort que la demanderesse a versé la somme de CHF 4'650.30 à la défenderesse le 13 août 2015. Il ressort d’ailleurs des documents produits que le montant dû à l’hôpital des enfants a bien été versé à ce dernier par la demanderesse par la suite. La demanderesse s’est donc acquittée deux fois du montant en question.</w:t>
      </w:r>
    </w:p>
    <w:p>
      <w:r>
        <w:rPr>
          <w:b/>
        </w:rPr>
        <w:t>E. 8</w:t>
      </w:r>
    </w:p>
    <w:p>
      <w:r>
        <w:t>Conformément à l’art. 62 de la loi fédérale du 30 mars 1911 complétant le Code civil suisse (CO, Code des obligations - RS 220), celui qui, sans cause légitime, s’est enrichi aux dépens d’autrui est tenu à restitution. Il n’y a pas lieu à restitution, dans la mesure où celui qui a reçu indument établit qu’il n’est plus enrichi lors de la répétition, à moins cependant qu’il ne se soit dessaisi de mauvaise foi de ce qu’il a reçu et qu’il n’ait dû savoir, en se dessaisissant, qu’il pouvait être tenu à restituer. N’est pas de bonne foi celui qui devait compter sur la demande de restitution car il aurait dû savoir, au moment du paiement et en prêtant l’attention commandée par les circonstances, que le paiement n’était pas justifié (ATF 4a_60072014 du 6 mai 2015). S'agissant d'une action pour enrichissement illégitime fondée sur les art. 62 al. 1 et 63 al. 1 CO, la qualité pour agir appartient à celui qui, notamment, a payé en vertu d'une cause qui ne s'est pas réalisée (art. 62 al. 2 CO). 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l'art. 62 al. 2 CO pour le droit privé. Cette règle vaut aussi dans le cadre du droit public (ATF 135 II 274 consid. 3.1 p. 276 ; PIERRE MOOR/ETIENNE POLTIER, Droit administratif, vol. II, 3ème éd., 2011, n. 1.5.3 p. 168; HÄFELIN/MÜLLER/UHLMANN, Allgemeines Verwaltungsrecht, 6ème éd. 2010, ch. 760 ss p. 176). Selon la jurisprudence, l'obligation de restituer l'indu se fonde en premier lieu sur les dispositions des lois spéciales qui la prévoient et, à défaut, sur les règles générales de l'enrichissement illégitime au sens des art. 62 à</w:t>
      </w:r>
    </w:p>
    <w:p>
      <w:r>
        <w:t>A/849/2017 - 7/10 - 67 CO (ATF 128 V 50 consid. 2 p. 51 et l'arrêt cité).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130 V 414 consid. 3.2 p. 418). En l’espèce, il est manifeste qu’à réception du montant litigieux, la défenderesse s’est enrichie sans cause légitime aux dépens de la demanderesse. Elle ne saurait se libérer de l’obligation de restituer car elle savait, ou à tout le moins aurait dû savoir, à la lecture du décompte de prestations envoyé par la demanderesse, que cet argent était destiné à régler la facture de l’Hôpital des enfants de Zürich, dont elle savait pertinemment qu’elle ne l’avait pas réglée. La défenderesse ne saurait donc se prévaloir de sa bonne foi pour refuser de rembourser à la demanderesse le montant de CHF 4'650.30. Quant au paiement de CHF 100.- de frais d’administration, il est légitimement fondé sur l’art. 41 CO, dont le premier alinéa prévoit que celui qui cause, d'une manière illicite, un dommage à autrui, soit intentionnellement, soit par négligence ou imprudence, est tenu de le réparer. Enfin, la réclamation des frais de poursuites (CHF 78.50) est basée sur l’art. 68 al. 1 de la loi fédérale sur la poursuite pour dettes et la faillite du 11 avril 1889 (LP - RS 281.1). C’est donc une somme totale de CHF 4'828.60 que la demanderesse est légitimée à réclamer à la défenderesse.</w:t>
      </w:r>
    </w:p>
    <w:p>
      <w:r>
        <w:rPr>
          <w:b/>
        </w:rPr>
        <w:t>E. 9</w:t>
      </w:r>
    </w:p>
    <w:p>
      <w:r>
        <w:t>La LCA ne contient pas de dispositions sur la demeure, laquelle est dès lors régie, en vertu de l'art. 100 al. 1 LCA, par les art. 102ss CO. Selon l’art. 102 CO, le débiteur d'une obligation est en demeure par l'interpellation du créancier (al. 1) ; lorsque le jour de l'exécution a été déterminé d'un commun accord, ou fixé par l'une des parties en vertu d'un droit à elle réservé et au moyen d'un avertissement régulier, le débiteur est mis en demeure par la seule expiration de ce jour (al. 2).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 THEVENOZ, in Commentaire romand du Code des obligations I, n. 9 ad art. 104 CO). En l’espèce, le contrat d'assurance ne fixe pas un terme comminatoire pour l'exécution des obligations contractuelles (NEF, Commentaire bâlois, Bundesgesetz über den Versicherungsvertrag, 2001, n. 20-21 ad art. 41 LCA), ni ne réserve le droit de le fixer à l'une des parties (art. 102 al. 2 CO). Dès lors, la défenderesse ne</w:t>
      </w:r>
    </w:p>
    <w:p>
      <w:r>
        <w:t>A/849/2017 - 8/10 - doit des intérêts moratoires à la demanderesse qu'à partir du moment où elle a été interpellée par celle-ci (art. 102 al. 1 CO), soit le 22 septembre 2015.</w:t>
      </w:r>
    </w:p>
    <w:p>
      <w:r>
        <w:rPr>
          <w:b/>
        </w:rPr>
        <w:t>E. 10</w:t>
      </w:r>
    </w:p>
    <w:p>
      <w:r>
        <w:t>Conformément à l’art. 67 CO, l’action pour cause d’enrichissement illégitime se prescrit par un an à compter du jour où la partie lésée a eu connaissance de son droit de répétition et, dans tous les cas, par dix ans dès la naissance de ce droit. Conformément à l’art. 135 al. 2 CO, la prescription est interrompue lorsque le créancier fait valoir ses droits par des poursuites. Un nouveau délai commence à courir dès l’interruption en vertu de l’art. 137 al. 1 CO. En l’espèce, le délai de prescription, qui a commencé à courir en septembre 2015, lorsque la demanderesse s’est rendu compte de son erreur - à réception du rappel de l’hôpital des enfants - a donc été interrompu par la réquisition des poursuites du 16 mars 2016, puis par l’action introduite par la demanderesse en date du 10 mars 2017.</w:t>
      </w:r>
    </w:p>
    <w:p>
      <w:r>
        <w:rPr>
          <w:b/>
        </w:rPr>
        <w:t>E. 11</w:t>
      </w:r>
    </w:p>
    <w:p>
      <w:r>
        <w:t>Reste à examiner ce qu’il advient de la poursuite intentée à Zurich, où résidait alors la défenderesse. Selon l’art. 46 al. 1 LP, le for de la poursuite est au domicile du débiteur. L’art. 53 LP précise que si le débiteur change de domicile après l'avis de saisie, après la commination de faillite ou après la notification du commandement de payer pour effets de change, la poursuite se continue au même domicile. Dans le cas présent, on ne se trouve dans aucune de ces trois hypothèses. Le domicile a bel et bien changé, mais après notification d’un commandement de payer dans le cadre d’une poursuite ordinaire. Dans un arrêt 5A_757/2015 du 15 janvier 2016, le Tribunal fédéral a précisé (consid. 2.2.1), qu’a contrario, si les hypothèses évoquées par l’art. 53 LP ne sont pas réalisées, le for ordinaire de poursuite suit le débiteur à chaque nouveau domicile, de sorte que la poursuite requise à l'ancien domicile doit être continuée au nouveau domicile (ATF 136 III 373 consid. 2.1 ; 134 III 417 consid. 4; arrêt 7B.88/2006 du 19 septembre 2006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 80 III 99 consid. 1 ; arrêt 5A_542/2014 du 18 septembre 2014 consid. 4.1.2 ; cf également l’arrêt 5A_542.2016, consid. 4.1.2). En l'espèce, après avoir requis l’ouverture de poursuites à l’encontre de la défenderesse à Zürich, la demanderesse peut donc légitimement requérir la continuation de celles-ci à Genève, où l’intéressée a transféré son domicile depuis lors.</w:t>
      </w:r>
    </w:p>
    <w:p>
      <w:r>
        <w:t>A/849/2017 - 9/10 -</w:t>
      </w:r>
    </w:p>
    <w:p>
      <w:r>
        <w:rPr>
          <w:b/>
        </w:rPr>
        <w:t>E. 12</w:t>
      </w:r>
    </w:p>
    <w:p>
      <w:r>
        <w:t>Eu égard aux considérations qui précèdent, il y a lieu d’admettre la demande et de lever l’opposition au commandement de payer à due concurrence. En revanche, il n’y a pas lieu d’allouer des dépens. En effet, même si l'art. 89H al. 3 de la loi sur la procédure administrative du 12 septembre 1985 (LPA) prévoit qu'une indemnité est allouée à celui qui obtient gain de cause, le législateur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w:t>
      </w:r>
    </w:p>
    <w:p>
      <w:r>
        <w:t>A/849/2017 - 10/10 -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