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ATAS/1075/2014 vom 7. Oktober 2014</w:t>
      </w:r>
    </w:p>
    <w:p>
      <w:r>
        <w:t>GE Cour de justice, 2014-10-07, FR</w:t>
      </w:r>
    </w:p>
    <w:p>
      <w:r>
        <w:rPr>
          <w:b/>
        </w:rPr>
        <w:t xml:space="preserve">Quelle: </w:t>
      </w:r>
      <w:r>
        <w:t>https://mcp.opencaselaw.ch/entscheid/ge_gerichte_ATAS_1075_2014</w:t>
      </w:r>
    </w:p>
    <w:p>
      <w:r>
        <w:t>FR: GE_GERICHTE ATAS/1075/2014 du 7 octobre 2014</w:t>
      </w:r>
    </w:p>
    <w:p>
      <w:r>
        <w:t>IT: GE_GERICHTE ATAS/1075/2014 del 7 ottobre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porte sur la valeur locative du bien immobilier qui doit être prise en considération dans le calcul des prestations complémentaires dues à l’intéressée, ainsi que sur le droit au subside de l’assurance-maladie de celle-ci.</w:t>
      </w:r>
    </w:p>
    <w:p>
      <w:r>
        <w:rPr>
          <w:b/>
        </w:rPr>
        <w:t>E. 5</w:t>
      </w:r>
    </w:p>
    <w:p>
      <w:r>
        <w:t>En vertu de l'art. 4 al. 1 let. a et c LPC, les personnes qui ont leur domicile et leur résidence habituelle en Suisse ont droit à des prestations complémentaires</w:t>
      </w:r>
    </w:p>
    <w:p>
      <w:r>
        <w:t>A/1852/2014 - 4/11 - fédérales, dès lors qu'elles perçoivent une rente de vieillesse de l’assurance- vieillesse et survivants, ou ont droit à une rente ou à une allocation pour impotent de l’assurance-invalidité.</w:t>
      </w:r>
    </w:p>
    <w:p>
      <w:r>
        <w:rPr>
          <w:b/>
        </w:rPr>
        <w:t>E. 6</w:t>
      </w:r>
    </w:p>
    <w:p>
      <w:r>
        <w:t>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25'000 fr. pour les personnes seules, (37’500 fr. dès le 1er janvier 2011) les rentes de l’AVS et de l’AI (let. d), et les ressources et parts de fortune dont un ayant droit s’est dessaisi (let. g).</w:t>
      </w:r>
    </w:p>
    <w:p>
      <w:r>
        <w:rPr>
          <w:b/>
        </w:rPr>
        <w:t>E. 7</w:t>
      </w:r>
    </w:p>
    <w:p>
      <w:r>
        <w:t>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Toutefois, lorsqu’un prêt, par exemple, ne peut prétendument ou vraisemblablement pas être remboursé (« uneinbringlich »), il faut encore se poser la question de la qualification dudit prêt et notamment se demander s’il doit être qualifié de renonciation à un élément du patrimoine (CARIGIET / KOCH, op. cit., p. 96).</w:t>
      </w:r>
    </w:p>
    <w:p>
      <w:r>
        <w:rPr>
          <w:b/>
        </w:rPr>
        <w:t>E. 8</w:t>
      </w:r>
    </w:p>
    <w:p>
      <w:r>
        <w:t>En d’autres termes, ne sont à considérer comme fortune imputable au sens de l’art.</w:t>
      </w:r>
    </w:p>
    <w:p>
      <w:r>
        <w:rPr>
          <w:b/>
        </w:rPr>
        <w:t>E. 11</w:t>
      </w:r>
    </w:p>
    <w:p>
      <w:r>
        <w:t>Selon l'art. 5 LPCC, dans sa teneur dès le 1er janvier 2008,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w:t>
      </w:r>
    </w:p>
    <w:p>
      <w:r>
        <w:rPr>
          <w:b/>
        </w:rPr>
        <w:t>E. 12</w:t>
      </w:r>
    </w:p>
    <w:p>
      <w:r>
        <w:t>7. 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de l’ordonnance sur les prestations complémentaires à l’assurance-vieillesse, survivants et invalidité du 15 janvier 1971 (OPC-AVS/AI ; RS 831.301). Cette disposition prévoit que la fortune doit être évaluée selon les règles de la législation sur l’impôt cantonal direct du canton du domicile (al. 1). Il s’agit de la fortune mobilière ainsi que les immeubles appartenant et servant d’habitation au requérant ou à une personne comprise dans le calcul de la PC. Cette réglementation n’outrepasse pas manifestement le cadre de la délégation de compétence accordée au Conseil fédéral (ATF 125 V 69 consid. 3a; VSI 3/1999 p. 86 ss).</w:t>
      </w:r>
    </w:p>
    <w:p>
      <w:r>
        <w:rPr>
          <w:b/>
        </w:rPr>
        <w:t>E. 13</w:t>
      </w:r>
    </w:p>
    <w:p>
      <w:r>
        <w:t>En outre, selon l’art. 7 LPCC, dans sa teneur en vigueur dès le 1er janvier 2008,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w:t>
      </w:r>
    </w:p>
    <w:p>
      <w:r>
        <w:rPr>
          <w:b/>
        </w:rPr>
        <w:t>E. 14</w:t>
      </w:r>
    </w:p>
    <w:p>
      <w:r>
        <w:t>De plus, le chiffre 3444.01 des directives de l’Office fédéral des assurances sociales concernant les prestations complémentaires à l’AVS et à l’AI (DPC), dans sa teneur en vigueur au 1er janvier 2014, précise au sujet de l’estimation de la fortune qu’est déterminante la valeur de la fortune retenue par l’administration fiscale avant la déduction des montants exempts d’impôt.</w:t>
      </w:r>
    </w:p>
    <w:p>
      <w:r>
        <w:rPr>
          <w:b/>
        </w:rPr>
        <w:t>E. 15</w:t>
      </w:r>
    </w:p>
    <w:p>
      <w:r>
        <w:t>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w:t>
      </w:r>
    </w:p>
    <w:p>
      <w:r>
        <w:t>A/1852/2014 - 6/11 - calcul celle sur laquelle se fonde la dernière taxation fiscale (art. 23 al. 1 et 2 OPC- AVS/AI et art. 9 al. 1 LPCC).</w:t>
      </w:r>
    </w:p>
    <w:p>
      <w:r>
        <w:rPr>
          <w:b/>
        </w:rPr>
        <w:t>E. 16</w:t>
      </w:r>
    </w:p>
    <w:p>
      <w:r>
        <w:t>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7 al. 2 de loi sur l'imposition des personnes physiques - impôt sur le revenu (LIPP-IV), entrée en vigueur le 1er janvier 2001,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(ATAS/43/2010, ATAS/732/2009, ATAS/399/07, ATAS 1040/05). L’emploi de ce taux n'apparaît pas comme excessif en comparaison intercantonale (cf. Annexe 3 au Rapport de la Commission valeur locative / changement de système (KES) mars 2000, "Etude sur la valeur locative effectuée la commission intercantonale d'information fiscale, Juin 1999", publié sur http://www.estv.admin.ch/ data/f/index.htm?berichte.htm) et a déjà été confirmé par le Tribunal fédéral (ATFA non publié P 57/05 du 29 août 2006). Quant aux frais d'entretien des bâtiments, l'art. 16 al. 1 OPC-AVS/AI dispose que la déduction forfaitaire prévue pour l'impôt cantonal direct dans le canton de domicile s'applique aux frais d'entretien des bâtiments. A Genève, l'art. 2 du règlement d'application de la loi sur l'imposition des personnes physiques (LIPP-V) fixe le taux de cette déduction à 7% de la valeur locative si l'âge du bâtiment au début de la période fiscale est inférieur ou égal à 10 ans (let. a), et à 17,5%, si l'âge du bâtiment au début de la période fiscale est supérieur à 10 ans (let. b).</w:t>
      </w:r>
    </w:p>
    <w:p>
      <w:r>
        <w:rPr>
          <w:b/>
        </w:rPr>
        <w:t>E. 17</w:t>
      </w:r>
    </w:p>
    <w:p>
      <w:r>
        <w:t>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b. Le revenu déterminant au sens de l’art. 5 al. 1 LPCC comprend, notamment, le produit de la fortune, tant mobilière qu’immobilière (let. b), un cinquième de la fortune nette après déduction d’un montant de 25'000 fr. pour un célibataire (let. c), les rentes de l’assurance-vieillesse et survivants et de l’assurance-invalidité ainsi</w:t>
      </w:r>
    </w:p>
    <w:p>
      <w:r>
        <w:t>A/1852/2014 - 7/11 - que les indemnités journalières de l’assurance-invalidité (let. d), les rentes, pensions et autres prestations périodiques (let. f) et les prestations complémentaires fédérales (let. e). c. S'agissant de la fortune immobilière, l'art. 7 al. 7 LPCC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Il convient donc de renvoyer aux développements présentés ci-dessus au sujet de la détermination de la valeur locative dans le domaine des prestations complémentaires fédérales, qui s'appliquent mutatis mutandis aux prestations complémentaires cantonales.</w:t>
      </w:r>
    </w:p>
    <w:p>
      <w:r>
        <w:rPr>
          <w:b/>
        </w:rPr>
        <w:t>E. 18</w:t>
      </w:r>
    </w:p>
    <w:p>
      <w:r>
        <w:t>Selon les Directives concernant les prestations complémentaires à l'AVS et à l'AI, chiffres 2091.1, 2092.1 et 2099 :</w:t>
      </w:r>
    </w:p>
    <w:p>
      <w:r>
        <w:t>"Les revenus de la fortune englobent tous les revenus de la fortune mobilière et immobilière, y compris le produit transférable en Suisse d'une fortune qui se trouve à l'étranger. Elle englobe également le revenu hypothétique des parts de fortune auxquelles il a été renoncé. Le revenu de la fortune immobilière comprend les loyers et fermages, l'usufruit, le droit d'habitation (RCC 1967, p. 212/213), ainsi que la valeur locative du logement de l'assuré dans son propre immeuble, pour autant que cette valeur ne soit pas déjà comprise dans son revenu d'une activité lucrative. La contre-valeur d'un droit d'habitation ne peut en principe pas être prise en compte comme revenu lorsque son titulaire ne peut plus l'exercer pour des raisons de santé (RCC 1974, p. 195). En cas de renonciation à des éléments de fortune immobilière, le revenu hypothétique à prendre en compte correspond au montant des gains réalisables par des placements avec intérêts de la fortune cédée (RCC 1988, p. 216, consid. 6). En présence d'un droit d'habitation ou d'usufruit, le montant du droit d'habitation ou d'usufruit doit être pris en compte en sus du revenu hypothétique."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w:t>
      </w:r>
    </w:p>
    <w:p>
      <w:r>
        <w:rPr>
          <w:b/>
        </w:rPr>
        <w:t>E. 19</w:t>
      </w:r>
    </w:p>
    <w:p>
      <w:r>
        <w:t>L’assurée considère que le SPC devrait tenir compte de la valeur locative après application du taux d’effort, selon ce qu’applique l’administration fiscale. Selon l’art. 24 al. 2 de la loi sur l'imposition des personnes physiques du 27 septembre 2009 (LIPP ; RS D 3 08), « la valeur locative est déterminée en tenant compte des conditions locales. Le loyer théorique des villas et des appartements en copropriété par étage occupés par leur</w:t>
      </w:r>
    </w:p>
    <w:p>
      <w:r>
        <w:t>A/1852/2014 - 8/11 - propriétaire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il ne saurait excéder un taux d'effort de 20% des revenus bruts totaux. Ce taux d'effort est calculé sur les revenus bruts totaux, mais au minimum sur le montant de la première tranche exonérée d’impôt selon le barème inscrit à l’article 41, alinéa 1, pour les personnes seules, et sur le double de ce montant pour les contribuables visés à l’article 41, alinéas 2 et 3. La valeur locative limitée à ce taux d'effort n'est toutefois prise en compte qu'à la condition que les intérêts sur le financement de l'immeuble ne soient pas supérieurs à son montant ». Dans un arrêt du 30 octobre 2009, le TF a considéré qu’il convenait de prendre en compte la valeur locative brute d'un appartement occupé par son propriétaire pour calculer les revenus déterminants et le droit aux prestations complémentaires, et non pas la valeur locative incluant un abattement de 4% par année d'occupation de l'appartement, avec un maximum de 40% retenue pour l'imposition cantonale (ATF 9C_376/2009). Il a cet égard rappelé que « le droit régissant le domaine des prestations complémentaires renvoie, sur certains points particuliers, au droit applicable en matière fiscale. L'abattement en fonction de la durée continue d'occupation prévu par la législation genevoise est certes un élément essentiel du droit fiscal dans le sens où il permet notamment de décourager les transactions à but purement spéculatif. Cependant, le renvoi à des notions spécifiques appartenant à un autre domaine du droit ne saurait impliquer nécessairement l'application de tous les principes développés dans le cadre de la notion de référence dans la mesure où lesdits principes pourraient être contraires au but recherché. Ainsi, selon l'art. 112a de la Constitution fédérale de la Confédération suisse du 18 avril 1999 (Cst.; RS 101), le but des prestations complémentaires est de venir en aide aux personnes âgées ou invalides qui ne peuvent pas couvrir leurs besoins vitaux. Or, dans ce contexte, on ne voit pas en quoi l'application de l'abattement mentionné permettrait d'atteindre l'objectif poursuivi. Au contraire, la manière de voir de la juridiction cantonale reviendrait à influencer artificiellement le cercle des bénéficiaires de prestations complémentaires puisque, pour une situation financière identique, la seule durée continue d'occupation d'un logement par son propriétaire pourrait déterminer l'octroi ou le refus de prestations, ce qui est totalement étranger à la nécessité de couvrir les besoins vitaux des personnes âgées ou invalides et, au demeurant, serait contraire au principe d'égalité de traitement ».</w:t>
      </w:r>
    </w:p>
    <w:p>
      <w:r>
        <w:rPr>
          <w:b/>
        </w:rPr>
        <w:t>E. 20</w:t>
      </w:r>
    </w:p>
    <w:p>
      <w:r>
        <w:t>En l’occurrence, l'administration fiscale genevoise a fixé la valeur locative brute de la maison occupée par l’intéressée à CHF 17'758.- et la valeur locative après rabattement à CHF 13'496.-</w:t>
      </w:r>
    </w:p>
    <w:p>
      <w:r>
        <w:t>A/1852/2014 - 9/11 - Partant, c’est à juste titre que le SPC a déterminé la valeur locative du bien immobilier dont l'assurée est propriétaire et qu’elle occupe à CHF 17'758.-.</w:t>
      </w:r>
    </w:p>
    <w:p>
      <w:r>
        <w:rPr>
          <w:b/>
        </w:rPr>
        <w:t>E. 21</w:t>
      </w:r>
    </w:p>
    <w:p>
      <w:r>
        <w:t>L’assurée s’étonne de ce que le SPC refuse de prendre en charge le subside de l’assurance-maladie. Aux termes de l’art. 19 de la loi d'application de la loi fédérale sur l'assurance- maladie du 29 mai 1997 (LaLAMal ; RS J 3 05), « 1 Conformément aux articles 65 et suivants LAMal, l’Etat de Genève accorde aux assurés de condition économique modeste (ci-après : ayants droit) des subsides destinés à la couverture totale ou partielle des primes de l’assurance-maladie. 2 La participation du canton à la réduction des primes est inscrite au budget de l’Etat. 3 Le service de l’assurance-maladie est chargé du versement des subsides destinés à la réduction des primes. Il est également compétent pour l’échange des données avec les assureurs selon l’article 65 alinéa 2 LAMal ». L’art. 20 LALAMal précise quels sont les ayants droit, soit les assurés de condition économique modeste et les assurés bénéficiaires des prestations complémentaires à l'AVS/AI ou de prestations complémentaires familiales accordées par le service des prestations complémentaires (ci-après : service), étant précisé que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Selon l’art. 22 al. 6 LALAMal, « Les bénéficiaires de prestations complémentaires à l'AVS/AI ont droit à un subside égal au montant de leur prime d'assurance obligatoire des soins, mais au maximum au montant correspondant à la prime moyenne cantonale fixée par le département fédéral de l'intérieur ». Pour le surplus, les bénéficiaires de prestations cantonales ont droit au subside d'assurance-maladie si, malgré l'absence de droit aux prestations complémentaires elles-mêmes, les excédents de revenus sont inférieurs au montant de la prime annuelle moyenne d'assurance-maladie pour le groupe familial en question, dès lors que le montant de la prime d'assurance n'est pas pris en compte dans le plan de calcul (ATAS/400/2012 du 27 mars 2012).</w:t>
      </w:r>
    </w:p>
    <w:p>
      <w:r>
        <w:t>A/1852/2014 - 10/11 -</w:t>
      </w:r>
    </w:p>
    <w:p>
      <w:r>
        <w:rPr>
          <w:b/>
        </w:rPr>
        <w:t>E. 22</w:t>
      </w:r>
    </w:p>
    <w:p>
      <w:r>
        <w:t>En l’espèce, les dépenses reconnues s’élèvent à CHF 35'686.- pour les prestations complémentaires fédérales et CHF 42'031.- pour les prestations complémentaires cantonales. Or, les revenus déterminants s’élèvent respectivement à CHF 58286.- et à CHF 80'963.-. Dès lors que les revenus de l'assurée couvrent les dépenses reconnues, c’est à bon droit que le SPC a refusé l’octroi de prestations complémentaires. S’agissant du subside d’assurance-maladie, il faut retenir que le revenu déterminant permet à l'assurée d’assurer le montant annuel de sa prime d'assurance-maladie en plus des dépenses reconnues, puisque les excédents de revenus sont supérieurs au montant de la prime annuelle moyenne. Force est ainsi de constater que l'assurée ne peut prétendre au subside d'assurance-maladie intégral. Elle conserve toutefois son droit au subside partiel versé par le service de l'assurance-maladie.</w:t>
      </w:r>
    </w:p>
    <w:p>
      <w:r>
        <w:rPr>
          <w:b/>
        </w:rPr>
        <w:t>E. 23</w:t>
      </w:r>
    </w:p>
    <w:p>
      <w:r>
        <w:t>Aussi le recours est-il rejeté.</w:t>
      </w:r>
    </w:p>
    <w:p>
      <w:r>
        <w:t>A/1852/2014 - 11/11 -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