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ATAS/1075/2011 vom 15. November 2011</w:t>
      </w:r>
    </w:p>
    <w:p>
      <w:r>
        <w:t>GE Cour de justice, 2011-11-15, FR</w:t>
      </w:r>
    </w:p>
    <w:p>
      <w:r>
        <w:rPr>
          <w:b/>
        </w:rPr>
        <w:t xml:space="preserve">Quelle: </w:t>
      </w:r>
      <w:r>
        <w:t>https://mcp.opencaselaw.ch/entscheid/ge_gerichte_ATAS_1075_2011</w:t>
      </w:r>
    </w:p>
    <w:p>
      <w:r>
        <w:t>FR: GE_GERICHTE ATAS/1075/2011 du 15 novembre 2011</w:t>
      </w:r>
    </w:p>
    <w:p>
      <w:r>
        <w:t>IT: GE_GERICHTE ATAS/1075/2011 del 15 novembre 2011</w:t>
      </w:r>
    </w:p>
    <w:p>
      <w:pPr>
        <w:pStyle w:val="Heading2"/>
      </w:pPr>
      <w:r>
        <w:t>Erwägungen</w:t>
      </w:r>
    </w:p>
    <w:p>
      <w:r>
        <w:rPr>
          <w:b/>
        </w:rPr>
        <w:t>E. 30</w:t>
      </w:r>
    </w:p>
    <w:p>
      <w:r>
        <w:t>août 2011 (parties rhumatologique, psychiatrique et ophtalmologique), et le 1er septembre 2010 (psychologique et neuro- psychologique), les experts adressèrent leur rapport d’expertise le 22 mars 2011 à la Chambre des assurances sociales de la Cour de Justice, laquelle avait dans l’intervalle succédé au Tribunal cantonal des assurances sociales.</w:t>
      </w:r>
    </w:p>
    <w:p>
      <w:r>
        <w:t>A/301/2008 - 19/28 - Les experts ont indiqué de manière détaillée l’ensemble des éléments médicaux à leur disposition, lesquels comprennent notamment les avis sur lesquels la recourante se fonde. Ils se sont procurés différents éléments, en particulier 4 rapports d’examen neuropsychologiques des HUG effectués 2000, 2001, 2003 et 2007. Ils ont décrit l’état de la recourante sous l’angle des différentes disciplines de l’expertise et ont détaillé les plaintes de cette dernière. Leur rapport contient une anamnèse ainsi qu’une discussion détaillée et convaincante. Leurs conclusions sont les suivantes : a) Au plan neurologique : les experts retiennent essentiellement des céphalées chroniques quotidiennes probablement post-traumatiques. Ils retiennent que ces céphalées sont partiellement invalidantes en ce sens qu’elles occasionnent une diminution de rendement de 20% au travail. Leur relation avec l’accident n’est toutefois mentionnée que comme possible, étant précisé que sur ce point, ils rejoignent les conclusions des experts du MEDAS. b) Au plan ophtalmique : les experts indiquent retrouver la photophobie et le trouble de convergence mentionnés par le Professeur G__________, avec une adaptation certaine sur le plan des aptitudes fonctionnelles depuis l’octroi de la rente AI. Ces troubles ne donnent pas lieu actuellement à des altérations significatives lors des tests neuropsychologiques, mis à part la fatigabilité subjective, variable entre les différents examens. En tenant compte des plaintes subjectives de la recourante et en incluant les céphalées, les experts estiment la diminution de la capacité de travail à 30 ou 40% dans le travail antérieur ou dans tout autre poste similaire nécessitant l’usage exclusif de l’écran informatique. Les experts admettent que la photophobie résiduelle peut résulter de l’accident. Elle n’est plus aussi invalidante qu’en 2001, raison pour laquelle les experts estiment que la recourante peut conduire. c) Au plan neuropsychologique : l’examen neuropsychologique est dans la norme et l’on ne constate plus des gnosies. Les experts ont constaté indirectement une fatigabilité et les troubles attentionnels liés à la fatigue lors d’épreuves à présentation et réponses nécessitant une participation visuelle intensive et prolongée sans pathologie des gnosies visuelles. De manière consensuelle, les experts retiennent que l’état de santé de la recourante présente des difficultés pour le travail essentiellement sur l’écran, qui n’ont pas pu être corrélées avec l’altération objective du status oculaire ou des gnosies visuelles. Les experts indiquent qu’il est inhabituel d’observer que les phénomènes compensatoires de neuro-plasticité n’aient pas eu lieu, ou qu’ils aient mis plusieurs années à se constituer pour une atteinte qui est toujours restée infra-clinique.</w:t>
      </w:r>
    </w:p>
    <w:p>
      <w:r>
        <w:t>A/301/2008 - 20/28 - Ils rejoignent ainsi l’évaluation du MEDAS en 2007, indiquant avoir affaire à des plaintes subjectives sans net substrat, ce qui constitue une situation cliniquement inhabituelle comme le relevait déjà le Dr. L__________ dans son expertise de 2002. Les experts relèvent toutefois que les plaintes concernant la fatigue à la perception visuelle sont systématisées et cohérentes, ceci dans le contexte d’une bonne collaboration de la recourante. La limitation retenue au titre d’activités prolongées ou uniquement sur écran d’ordinateur ou encore à lister des documents ou à lire est de l’ordre de 30 à 40%, ceci en incluant les symptômes subjectifs oculaires et la baisse de rendement liée aux céphalées. Dans toute autre activité, la capacité de travail est de 80% dans un premier temps vu le déconditionnement au travail depuis 10 ans. Il est mentionné qu’il n’y a pas de comorbidité psychiatrique chronique qui contre-indiquerait des mesures professionnelles dès le début de l’année 2001. Les diagnostics finalement retenus sont les suivants : - Status après TCC en 1999 (S 06.9). - Photophobie et troubles de convergence, avec fatigabilité visuelle d’origine restée indéterminée (H 53.3). - Céphalées chroniques quotidiennes (R 51). - Hypoesthésie de la face externe du pied (ancienne) (R 20.1). - Excès pondéral (R. 63.2). - Status après chirurgie de réduction mammaire, plastie de réduction d’un tablier graisseux et liposuccions et plasties de réduction des pannicules adipeux des cuisses. - Status après interventions pour libération de névromes de Morton du pied G. Les experts ne retiennent pas de tableau clinique typique d’un traumatisme crânio- cérébral. Un syndrome post-commotionnel est considéré comme possible mais peu vraisemblable en raison de la durée d’évolution et du contexte d’un accident bénin, à savoir l’absence de lésion cérébrale avérée, une amnésie post-traumatique brève de moins de 20 minutes. Les experts ne relèvent pas de critère d’un syndrome post- traumatique au sens du PTSD. L’évolution n’est par ailleurs pas typique. Au plan ophtalmique, la photophobie résiduelle et la symptomatologique visuelle fonctionnelle sont apparues après l’accident mais sans lésion ophtalmologique post-</w:t>
      </w:r>
    </w:p>
    <w:p>
      <w:r>
        <w:t>A/301/2008 - 21/28 - traumatique objectivable. L’évolution dans le temps n’est par ailleurs pas typique. Aucune affection psychiatrique n’est mise en évidence. S’agissant du lien de causalité, le traumatisme crânio-cérébral est reconnu comme certain. Le lien de causalité est par ailleurs possible avec la photophobie et les troubles de convergence avec fatigabilité visuelle d’origine indéterminée, de même qu’avec les céphalées chroniques quotidiennes. Il n’y a pas de lien de causalité avec l’accident s’agissant des autres diagnostics. Les experts retiennent qu’il n’y a pas de lésion objective des séquelles à plus de 10 ans de l’accident et que l’expérience clinique et la lecture des documents leur fait admettre un statu quo à 18 mois voire 2 ans de l’accident, au moment des améliorations observées en 2001. On aurait pu s’attendre à ce que l’amélioration se poursuive et donne lieu à un statu quo après 2 ans, comme cela est habituellement le cas. Les experts n’ont pas trouvé d’explication à la réaggravation ultérieure et s’accordent sur ce point aux conclusions du MEDAS. Ainsi, l’incapacité de travail retenue par les experts est complète initialement, ceci sur une durée de 2 ans au degré de la vraisemblance prépondérante. Une reprise théorique progressive de 50 à 100% sur 6 mois avec une baisse de rendement de l’ordre de 30 à 40% dans l’ancienne activité et de 20% dans une activité adaptée aurait par la suite pu avoir lieu. Une incapacité de travail plus importante ne serait pas donnée selon les experts au degré de la vraisemblance prépondérante. 65. Le rapport d’expertise fut transmis aux parties le 28 mars 2011 et un délai leur fut fixé pour se prononcer. 66. Dans sa détermination du 19 avril 2011, la recourante relève que l’appréciation des experts est contradictoire en tant qu’elle conclu à l’absence de lien de causalité au degré de la vraisemblance prépondérante et à une baisse de rendement qui n’est pas limitée dans le temps. Elle relève une contradiction en page 63 du rapport d’expertise en ce sens que la relation de causalité est décrite comme possible alors que dans le corps de l’expertise, il est indiqué que sur la plan neurologique, on peut retenir des céphalées chroniques quotidiennes probablement post-traumatiques. La recourante rappelle par ailleurs les différentes conclusions du Professeur G__________ et du Dr. M__________ ainsi que le contenu de leur audition par le Tribunal. La recourante déclarait ainsi persister dans ses conclusions. 67. L’assureur déposa sa détermination le 19 mai 2011. Il sollicitait que des questions complémentaires soient posées aux experts, afin de les amener à préciser leurs différentes réponses.</w:t>
      </w:r>
    </w:p>
    <w:p>
      <w:r>
        <w:t>A/301/2008 - 22/28 - 68. La cause fut gardée à juger le 24 mai 2011.</w:t>
      </w:r>
    </w:p>
    <w:p>
      <w:r>
        <w:t>A/301/2008 - 23/28 - EN DROIT 1.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2. La loi fédérale sur la partie générale du droit des assurances sociales du 6 octobre 2000 (LPGA) est entrée en vigueur le 1er janvier 2003, entraînant la modification de nombreuses dispositions légales dans le domaine des assurances sociales. Conformément au principe selon lequel les règles applicables sont celles en vigueur au moment où les faits juridiquement déterminants se sont produits (ATF 130 V 445), le droit litigieux est régi par l’ancien droit en vigueur jusqu'au 31 décembre 2002, pour la période courant jusqu'à cette date, et par les nouvelles dispositions introduites par la LPGA, pour la période postérieure. La question ne revêt toutefois pas une grande importance car les modifications légales contenues dans la LPGA constituent, en règle générale, une version formalisée dans la loi, de la jurisprudence relative aux notions correspondantes avant l'entrée en vigueur de la LPGA (ATF 130 V 343 consid. 3). Les règles de procédure prévues par la LPGA s'appliquent sans réserve dès le jour de son entrée en vigueur (ATF 117 V 93 consid. 6b, 112 V 360 consid. 4a; RAMA 1998 KV 37 p. 316 consid. 3b). 3. Adressé au Tribunal cantonal des assurances sociales – alors compétent – par pli postal du 30 janvier 2008, le recours contre la décision sur opposition de l’intimée du 18 décembre 2007 intervient en temps utile (art. 60 al. 1 LPGA). Les autres conditions prévues par les art. 56 et ss LPGA étant réalisées, le recours est recevable. 4. Le litige porte sur le droit de la recourante aux prestations de l’assurance-accident au sens de la LAA au-delà du 31 décembre 2001 (plus de 26 mois après l’accident du 19 octobre 1999).</w:t>
      </w:r>
    </w:p>
    <w:p>
      <w:r>
        <w:t>A/301/2008 - 24/28 - 5. Selon l'art. 6 al. 1 LAA, les prestations d'assurance sont allouées en cas d'accident professionnel, d'accident non professionnel et de maladie professionnelle. 6. Le droit à des prestations découlant d'un accident assuré suppose, entre l'événement dommageable de caractère accidentel et l'atteinte à la santé, un lien de causalité naturelle. a)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337 consid. 1, 118 V 289 consid. 1b et les références). b) En matière de lésions du rachis cervical par accident de type "coup du lapin" (Schleudertrauma, whiplash-injury) sans preuve d'un déficit fonctionnel organique, l'existence d'un rapport de causalité naturelle doit, dans la règle, être reconnue lorsqu'un tel traumatisme est diagnostiqué et que l'assuré en présente le tableau clinique typique (cumul de plaintes tels que maux de tête diffus, vertiges, troubles de la concentration et de la mémoire, nausées, fatigabilité accrue, troubles de la vision, irritabilité, labilité émotionnelle, dépression, modification du caractère, etc.). Il faut cependant que, médicalement, les plaintes puissent de manière crédible être attribuées à une atteinte à la santé; celle-ci doit apparaître, avec un degré prépondérant de vraisemblance, comme la conséquence de l'accident (ATF 119 V 338 consid. 2, 117 V 360 consid. 4b; ATFA non publié du 14 avril 2005, U 430/04). c)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w:t>
      </w:r>
    </w:p>
    <w:p>
      <w:r>
        <w:t>A/301/2008 - 25/28 - En principe, on examinera si l'atteinte à la santé est encore imputable à l'accident ou ne l'est plus (statu quo ante ou statu quo sine) sur le critère de la vraisemblance prépondérante (ATF 126 V 360 consid. 5b, 125 V 195 consid. 2; RAMA 2000 n° U 363 p. 46). 7. Le droit aux prestations suppose également un lien de causalité adéquate entre l’accident et l’atteinte à la santé. Il s’agit d’une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8.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w:t>
      </w:r>
    </w:p>
    <w:p>
      <w:r>
        <w:t>A/301/2008 - 26/28 - l’expert, on ne peut exclure, selon les cas, une interprétation divergente des conclusions de ce dernier par le juge ou, au besoin, une instruction complémentaire sous la forme d’une nouvelle expertise médicale (ATF 125 V 351 consid. 3b/aa). 9. En l’espèce, la décision de l’assureur qui met fin aux prestations au-delà du 31 décembre 2001 au motif de l’absence de causalité naturelle se fonde sur l’expertise confiée par lui au MEDAS. La recourante a contesté la force probante de cette expertise et la Chambre des assurances sociales a entendu différents témoins, dont les experts du MEDAS. Le contenu desdites auditions a amené la Chambre des assurances sociales à éprouver des doutes importants au sujet des conditions de réalisation de l’expertise du MEDAS. A tel point que la force probante de cette expertise en était très largement mise en doute. Cela a conduit la Chambre des assurances sociales à mettre sur pied une expertise pluridisciplinaire qui fut confiée au BREM. Le rapport d’expertise du 22 mars 2011 est complet, détaillé et convaincant. La recourante relève toutefois que ledit rapport contiendrait des contradictions. Premièrement, l’appréciation des experts serait contradictoire s’agissant de la limitation dans le temps de la diminution de rendement de 20% dans une activité adaptée aux problèmes ophtalmiques. La lecture attentive du rapport permet de constater que tel n’est pas le cas. Il convient en effet de lire le rapport d’expertise de quelques 74 pages de manière globale, ce qui permet de constater que dans leur discussion consensuelle (p. 68) les experts retiennent une diminution de rendement de 20% limitée dans le temps (« dans un 1er temps vu le déconditionnement au travail depuis 10 ans »), tout comme en répondant à la question 11 (p. 73) en précisant que la baisse de rendement de 20% devrait durer « les 3 à 6 premiers mois ». Le fait que cette limitation ne soit pas rappelée en page 72 de l’expertise n’est pas déterminant, dès lors que la lecture de l’expertise dans son ensemble permet de déterminer sans doute raisonnable que l’avis des experts est que la baisse de rendement de 20% est limité dans le temps. Deuxièmement, la recourant relève que les experts mentionnent que les céphalées chroniques quotidiennes sont « probablement post-traumatiques » (p. 63), ce qui serait contradictoire avec l’appréciation selon laquelle le lien de causalité ne serait que possible. Là également, il n’y a pas de contradiction, puisque c’est la relation de causalité « au délai actuel » qui n’est décrite que comme possible, étant rappelé que selon les experts, le lien de causalité est interrompu au moment des améliorations observées en 2001 (p. 71).</w:t>
      </w:r>
    </w:p>
    <w:p>
      <w:r>
        <w:t>A/301/2008 - 27/28 - Il s’en suit que le rapport d’expertise judiciaire du BREM revêt une pleine valeur probante, d’autant qu’il confirme en grande partie les conclusions du MEDAS et du Dr AF________. La seule existence d’un avis contraire du Prof. G__________ et du Dr M__________ ne saurait retirer la valeur probante à une expertise parvenant, dans des conditions qui ne permettent pas de douter de sa qualité, aux mêmes conclusions que les experts mis en œuvre par l’assureur. Par ailleurs, le complément d’expertise demandé par l’assureur n’est pas nécessaire, puisque le rapport du 22 mars 2011 permet de résoudre le litige. La Chambre des assurances sociales se fondera ainsi sur l’expertise du BREM. 10. Or, selon les experts, le lien de causalité naturelle entre l’atteinte à la santé et l’accident du 19 octobre 1999 n’est que possible, au-delà de l’amélioration survenue en 2001. Une telle appréciation ne permet pas d’octroyer des prestations d’assurances à la recourante au-delà du 31 décembre 2001, puisque dans le domaine des assurances sociales l’appréciation quant au lien de causalité se fait, comme rappelé plus haut, au degré de la vraisemblance prépondérante qui n’est en l’espèce pas acquis. Les experts ont diagnostiqué un traumatisme crânio-cérébral, mais n’ont pas retenu de tableau clinique typique d’un tel traumatisme. Ils retiennent qu’un syndrome post-commotionnel est possible mais peu vraisemblable, et qu’il n’y a pas de critère de syndrome post-traumatique au sens s’une PTSD. Il n’y a ainsi pas lieu de faire application de la jurisprudence applicable aux lésions du rachis cervical par accident de type « coup du lapin ». Dès lors, le lien de causalité naturelle entre l’atteinte à la santé et l’accident du 19 octobre 2009 a été nié à bon droit par l’assureur. 11. C’est ainsi à juste titre que ce dernier a mis fin aux prestations au 31 décembre 2001, sans qu’il soit nécessaire d’examiner la question d’un éventuel lien de causalité adéquate. 12. Le recours sera ainsi rejeté.</w:t>
      </w:r>
    </w:p>
    <w:p>
      <w:r>
        <w:t>A/301/2008 - 28/28 -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