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ATAS/1075/2010 vom 1. April 2010</w:t>
      </w:r>
    </w:p>
    <w:p>
      <w:r>
        <w:t>GE Cour de justice, 2010-04-01, FR</w:t>
      </w:r>
    </w:p>
    <w:p>
      <w:r>
        <w:rPr>
          <w:b/>
        </w:rPr>
        <w:t xml:space="preserve">Quelle: </w:t>
      </w:r>
      <w:r>
        <w:t>https://mcp.opencaselaw.ch/entscheid/ge_gerichte_ATAS_1075_2010</w:t>
      </w:r>
    </w:p>
    <w:p>
      <w:r>
        <w:t>FR: GE_GERICHTE ATAS/1075/2010 du 1 avril 2010</w:t>
      </w:r>
    </w:p>
    <w:p>
      <w:r>
        <w:t>IT: GE_GERICHTE ATAS/1075/2010 del 1 aprile 2010</w:t>
      </w:r>
    </w:p>
    <w:p>
      <w:pPr>
        <w:pStyle w:val="Heading2"/>
      </w:pPr>
      <w:r>
        <w:t>Erwägungen</w:t>
      </w:r>
    </w:p>
    <w:p>
      <w:r>
        <w:rPr>
          <w:b/>
        </w:rPr>
        <w:t>E. 1</w:t>
      </w:r>
    </w:p>
    <w:p>
      <w:r>
        <w:t>Le Tribunal cantonal des assurances sociales statue en instance unique conformément à l'art. 22 de la loi fédérale sur les allocations familiales du 24 mars 2006 (LAFam ; RS 836.2) en matière d'allocations familiales fédérales et conformément à l'art. 56 V al. 2 let. e LOJ en matière d'allocations familiales cantonales (LOJ ; J 3 05). Sa compétence pour juger du cas d’espèce est ainsi établie.</w:t>
      </w:r>
    </w:p>
    <w:p>
      <w:r>
        <w:rPr>
          <w:b/>
        </w:rPr>
        <w:t>E. 2</w:t>
      </w:r>
    </w:p>
    <w:p>
      <w:r>
        <w:t>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w:t>
      </w:r>
    </w:p>
    <w:p>
      <w:r>
        <w:t>A/2811/2010 - 4/5 - A fortiori la suspension est-elle possible lorsque deux causes sont pendantes devant la même juridiction.</w:t>
      </w:r>
    </w:p>
    <w:p>
      <w:r>
        <w:rPr>
          <w:b/>
        </w:rPr>
        <w:t>E. 3</w:t>
      </w:r>
    </w:p>
    <w:p>
      <w:r>
        <w:t>En l’espèce, le sort de la présente procédure dépendra de l’issue du recours dans la cause n°A/2812/2010 en matière AVS, tant du point de vue de la responsabilité du recourant que de celui du montant des contributions qui sont fixées en pourcent des salaires. Il se justifie par conséquent de suspendre la présente cause jusqu’à droit jugé dans la cause précitée.</w:t>
      </w:r>
    </w:p>
    <w:p>
      <w:r>
        <w:t>A/2811/2010 - 5/5 -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