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ATAS/1074/2019 vom 20. November 2019</w:t>
      </w:r>
    </w:p>
    <w:p>
      <w:r>
        <w:t>GE Cour de justice, 2019-11-20, FR</w:t>
      </w:r>
    </w:p>
    <w:p>
      <w:r>
        <w:rPr>
          <w:b/>
        </w:rPr>
        <w:t xml:space="preserve">Quelle: </w:t>
      </w:r>
      <w:r>
        <w:t>https://mcp.opencaselaw.ch/entscheid/ge_gerichte_ATAS_1074_2019</w:t>
      </w:r>
    </w:p>
    <w:p>
      <w:r>
        <w:t>FR: GE_GERICHTE ATAS/1074/2019 du 20 novembre 2019</w:t>
      </w:r>
    </w:p>
    <w:p>
      <w:r>
        <w:t>IT: GE_GERICHTE ATAS/1074/2019 del 20 novembre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(art. 56 ss LPGA; art. 9 de la loi cantonale du 14 octobre 1965 sur les prestations fédérales complémentaires à l’assurance-vieillesse et survivants et à l’assurance-invalidité [LPFC - RS/GE J 4 20]; art. 43 LPCC).</w:t>
      </w:r>
    </w:p>
    <w:p>
      <w:r>
        <w:rPr>
          <w:b/>
        </w:rPr>
        <w:t>E. 3</w:t>
      </w:r>
    </w:p>
    <w:p>
      <w:r>
        <w:t>Le litige porte sur le droit de la recourante à des prestations complémentaires et, en particulier, sur le bien-fondé de la prise en compte par l’intimé de biens dessaisis dans le calcul de ses prestations.</w:t>
      </w:r>
    </w:p>
    <w:p>
      <w:r>
        <w:rPr>
          <w:b/>
        </w:rPr>
        <w:t>E. 4</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w:t>
      </w:r>
    </w:p>
    <w:p>
      <w:r>
        <w:t>A/1647/2019 - 7/11 -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 sans obligation juridique », respectivement « sans avoir reçu en échange une contre-prestation équivalente ». Les deux conditions précitées ne sont pas cumulatives, mais alternatives (ATF 131 V 329 consid. 4.3). Une contre-prestation peut être considérée comme adéquate lorsqu’elle n’entame pas la fortune ou au contraire l’augmente, mais également lorsqu’elle consiste en des dépenses destinées à l’acquisition de biens de consommation (Ralph JÖHL, Ergänzungsleistungen zur AHV/IV, SBVR, 2ème éd. 2006, p. 1807 n° 234).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 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 Il y a lieu de prendre en compte dans le revenu déterminant tout dessaisissement sans limite de temps (Pierre FERRARI, Dessaisissement volontaire et prestations complémentaires à l'AVS/AI, in RSAS 2002, p. 420). À teneur de l'art. 17a de l'ordonnance sur les prestations complémentaires à l’assurance-vieillesse, survivants et invalidité du 15 janvier 1971 (OPC-AVS/AI - RS 831.301), la part de fortune dessaisie à prendre en compte (art. 11 al. 1 let. g LPC) est réduite chaque année de CHF 10'000.- (al. 1). La valeur de la fortune au moment du dessaisissement doit être reportée telle quelle au 1er janvier de</w:t>
      </w:r>
    </w:p>
    <w:p>
      <w:r>
        <w:t>A/1647/2019 - 8/11 - l’année suivant celle du dessaisissement, pour être ensuite réduite chaque année (al. 2). Est déterminant pour le calcul de la prestation complémentaire annuelle le montant réduit de la fortune au 1er janvier de l’année pour laquelle la prestation est servie (al. 3). On présume ainsi que l'ayant droit, à supposer qu'il ne se soit pas dessaisi de sa fortune, en aurait mis une partie à contribution pour subvenir à ses besoins; l'amortissement prévu par cette disposition n'est cependant admis que sous la forme d'un forfait indépendant du montant exact de la fortune dessaisie ou de celle dont dispose encore l'ayant droit (cf. ATF 118 V 150 consid. 3; arrêt du Tribunal fédéral 9C_945/2011 du 11 juillet 2012 consid. 5.2.). Le Tribunal fédéral a admis la conformité de cette disposition à la loi et à la constitution (ATF 118 V 150 consid. 3c/cc). Conformément à cette disposition, il faut qu'une année civile entière au moins se soit écoulée entre le moment où l'assuré a renoncé à des parts de fortune et le premier amortissement de fortune (Ralph JÖHL, Die Ergänzungsleistung und ihre Berechnung, in Soziale Sicherheit, SBVR vol. XIV, p. 1816 n. 247). La somme dessaisie est ensuite réduite chaque année de CHF 10'000.-. En cas de dessaisissements successifs, le solde du premier et additionné au second lorsque celui-ci intervient et le total est réduit de CHF 10'000.- par année (Directives concernant les prestations complémentaires à l’AVS et à l’AI [ci-après DPC], valables dès le 1er avril 2011, n°3483.06 et3483.07, p. 242). En outre, conformément à l'art. 3c al. 1 let. b LPC, il convient de tenir compte, dans le calcul des revenus déterminants, du produit hypothétique de la part de fortune dont l'assuré s'est dessaisi. Les dispositions applicables en matière de prestations complémentaires cantonales instaurent un régime similaire. L’art. 4 LPCC prévoit qu’on droit aux prestations les personnes dont le revenu annuel déterminant n’atteint pas le revenu minimum cantonal d’aide sociale applicable. Le revenu déterminant est calculé conformément aux dispositions fédérales, de sorte qu’il comprend également les ressources dont un ayant droit s’est dessaisi (art. 5 al. 1 LPCC). Les dépenses reconnues sont celles énumérées par la loi fédérale et ses dispositions d'exécution, à l'exclusion du montant destiné à la couverture des droits vitaux, remplacé par le montant destiné à garantir le revenu minimum cantonal d'aide sociale défini à l'art. 2 (art. 6 LPCC). Le revenu minimum cantonal d'aide sociale garanti s'élève, dès le 1er janvier 2019, à CHF 25'874.-, s’il s’agit d’une personne célibataire, veuve, divorcée, dont le partenariat enregistré a été dissous, ou qui vit séparée de son conjoint ou de son partenaire enregistré (art. 3 al. 1 let. a règlement relatif aux prestations cantonales complémentaires à l'assurance-vieillesse et survivants et à l’assurance-invalidité du 25 juin 1999 (RPCC-AVS/AI - J 4 25.03). En outre, la jurisprudence en matière de biens dessaisis s’applique mutatis mutandis en matière de prestations complémentaires cantonales (ATAS/1290/2010 du 14 décembre 2010).</w:t>
      </w:r>
    </w:p>
    <w:p>
      <w:r>
        <w:t>A/1647/2019 - 9/11 -</w:t>
      </w:r>
    </w:p>
    <w:p>
      <w:r>
        <w:rPr>
          <w:b/>
        </w:rPr>
        <w:t>E. 5</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Lorsque des éléments de fortune ou de revenus ne sont plus à disposition, il incombe à l’assuré d’apporter la preuve qu’ils ont été remis en vertu d’une obligation légale ou moyennant une contre-prestation adéquate. L’exigence de cette preuve n’est toutefois pas absolue. Il suffit que l’assuré puisse prouver au degré de la vraisemblance prépondérante qu’il n’y pas eu dessaisissement (arrêt du Tribunal fédéral 9C_934/2009 du 28 avril 2010 consid. 2 et les références). Une preuve doit être considérée comme apportée lorsque, d’un point de vue objectif, les motifs plaidant en faveur de ce qui est allégué sont si importants que les autres possibilités envisageables ne sauraient raisonnablement entrer en considération (arrêt du Tribunal fédéral 9C_732/2014 du 12 décembre 2014 consid. 4.1.1). En revanche, en l’absence de preuve, l’assuré doit accepter que l’on s’enquière des motifs de la diminution de fortune et que l’on tienne compte, le cas échéant, d’un revenu ou d’une fortune hypothétique (arrêt du Tribunal fédéral 9C_124/2014 du 4 août 2014 consid. 5 et les références). Les diminutions de fortune demeurées inexpliquées peuvent en effet être considérées comme un dessaisissement (arrêt du Tribunal fédéral des assurances P 59/02 du 28 août 2003 consid. 3.3).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6</w:t>
      </w:r>
    </w:p>
    <w:p>
      <w:r>
        <w:t>En l’espèce, l’intimé a retenu dans sa décision sur opposition du 24 octobre 2018 qu’il y avait eu des diminutions de fortune partiellement non justifiées dans le patrimoine de la recourante pour les années 2010, 2011, 2015 et 2016 et qu’à ces montants s’ajoutaient celui de CHF 44'903.- correspondant à la valeur des biens immobiliers qu’elle avait donnés en 2014 à ses enfants. Compte tenu de l’amortissement de CHF 10'000.- annuels prévu à l’art. 17a al. 1 OPC-AVS/AI, le montant de CHF 164'695.15 avait été ramené à CHF 104'695.15 en 2017 et à CHF 94'695.15 en 2018. La recourante n’ayant pas recouru contre cette décision, elle est entrée en force et il n’y a pas lieu de revenir, dans le cadre du présent recours, sur le bien-fondé des montants retenus alors en dessaisissement.</w:t>
      </w:r>
    </w:p>
    <w:p>
      <w:r>
        <w:t>A/1647/2019 - 10/11 - La recourante conteste le montant retenu en dessaisissement par l’intimé dans la décision du 28 février 2019, qui s’élevait à CHF 84'695.15, tout en admettant ne pas pouvoir justifier les dépenses retenues en dessaisissement et en ne contestant pas la prise en compte, au titre de biens dessaisis, de la valeur des biens immobiliers qu’elle a donnés en 2014 à ses enfants. Le montant retenu au titre de dessaisissement par le SPC dans son plan de calcul des prestations pour la période du 1er janvier 2019 correspond au dernier dessaisissement retenu pour 2018 dans la décision entrée en force, moins l’amortissement de CHF 10'000.- annuels, prévus par l’art. 17a al. 1 OPC-AVS/AI. Ce montant a ainsi été correctement établi. La décision sur opposition querellée qui confirmait celle du 28 février 2019 est par conséquent bien fondée et doit être confirmée.</w:t>
      </w:r>
    </w:p>
    <w:p>
      <w:r>
        <w:rPr>
          <w:b/>
        </w:rPr>
        <w:t>E. 7</w:t>
      </w:r>
    </w:p>
    <w:p>
      <w:r>
        <w:t>Compte tenu de ce qui précède, le recours doit être rejeté.</w:t>
      </w:r>
    </w:p>
    <w:p>
      <w:r>
        <w:rPr>
          <w:b/>
        </w:rPr>
        <w:t>E. 8</w:t>
      </w:r>
    </w:p>
    <w:p>
      <w:r>
        <w:t>La procédure est gratuite (art. 61 let. a LPGA ; art. 89H al. 1 LPA).</w:t>
      </w:r>
    </w:p>
    <w:p>
      <w:r>
        <w:t>A/1647/2019 - 11/11 -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