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ATAS/1074/2012 vom 28. August 2012</w:t>
      </w:r>
    </w:p>
    <w:p>
      <w:r>
        <w:t>GE Cour de justice, 2012-08-28, FR</w:t>
      </w:r>
    </w:p>
    <w:p>
      <w:r>
        <w:rPr>
          <w:b/>
        </w:rPr>
        <w:t xml:space="preserve">Quelle: </w:t>
      </w:r>
      <w:r>
        <w:t>https://mcp.opencaselaw.ch/entscheid/ge_gerichte_ATAS_1074_2012</w:t>
      </w:r>
    </w:p>
    <w:p>
      <w:r>
        <w:t>FR: GE_GERICHTE ATAS/1074/2012 du 28 août 2012</w:t>
      </w:r>
    </w:p>
    <w:p>
      <w:r>
        <w:t>IT: GE_GERICHTE ATAS/1074/2012 del 28 agosto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 à raison de la matière - pour juger du cas d’espèce est ainsi établie.</w:t>
      </w:r>
    </w:p>
    <w:p>
      <w:r>
        <w:rPr>
          <w:b/>
        </w:rPr>
        <w:t>E. 2</w:t>
      </w:r>
    </w:p>
    <w:p>
      <w:r>
        <w:t>La LPGA, entrée en vigueur le 1er janvier 2003, est applicable.</w:t>
      </w:r>
    </w:p>
    <w:p>
      <w:r>
        <w:rPr>
          <w:b/>
        </w:rPr>
        <w:t>E. 3</w:t>
      </w:r>
    </w:p>
    <w:p>
      <w:r>
        <w:t>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L'art. 52 al. 1 LPGA prévoit qu'avant d'être soumises à la Cour de céans, les décisions d'un</w:t>
      </w:r>
    </w:p>
    <w:p>
      <w:r>
        <w:t>A/179/2012 - 7/11 - assureur doivent être attaquées dans les trente jours par voie d'opposition auprès de l'assureur qui les a rendues.</w:t>
      </w:r>
    </w:p>
    <w:p>
      <w:r>
        <w:rPr>
          <w:b/>
        </w:rPr>
        <w:t>E. 4</w:t>
      </w:r>
    </w:p>
    <w:p>
      <w:r>
        <w:t>En l'espèce, la recevabilité du recours est douteuse, tant il est vrai que la caisse estime qu'elle n'avait pas - encore - rendu de décision formelle sur opposition. Son courrier du 6 décembre 2011 pouvait éventuellement être considéré comme une décision - qui n'est toutefois pas formelle - et être contestée par la voie de l'opposition par l'assuré. Toutefois, la confusion des termes utilisés par le conseil de l'assuré qui a demandé à la caisse le 13 décembre 2011 si elle "refusait d'entrer en matière, confirmait ou revenait sur sa position" par un courrier intitulé "demande de reconsidération sur opposition" et l'obstination de la caisse à ne pas statuer ont rendu la situation pour le moins incompréhensible. Ainsi, suite à la contestation du décompte du mois d'août 2011 par l'assuré, la caisse devait rendre une décision formelle, munie des voies de l'opposition, puis statuer sur l'opposition de l'assuré, car sa prétendue volonté de régler à l'amiable les nombreux litiges l'opposant à l'assuré ne la dispense pas de respecter la procédure applicable afin de permettre à l'assuré de saisir la Cour si le litige n'est pas aplani. A défaut, il appartenait à l'assuré de fixer - clairement - un délai à la caisse pour statuer, puis à défaut d'obtenir une décision formelle, de saisir la Cour d'un recours pour déni de justice. Le respect du formalisme a aussi pour but de contraindre la caisse à examiner les griefs de l'assuré, à motiver sa décision sur opposition avant que la Cour ne soit saisie. Toutefois, au vu de l'accord intervenu entre les parties sur l'essentiel du litige et de l'issue de la procédure pour le surplus, la question de la recevabilité du recours peut rester ouverte.</w:t>
      </w:r>
    </w:p>
    <w:p>
      <w:r>
        <w:rPr>
          <w:b/>
        </w:rPr>
        <w:t>E. 5</w:t>
      </w:r>
    </w:p>
    <w:p>
      <w:r>
        <w:t>Le litige porte sur le nombre de jours sans contrôles auxquels l'assuré avait droit en août 2011 et, singulièrement, sur le fait de savoir si le stage de l'OAI doit être considéré comme une mesure du marché du travail et si la caisse était en droit de fixer le nombre de jours indemnisés à la moitié du nombre de jours contrôlés.</w:t>
      </w:r>
    </w:p>
    <w:p>
      <w:r>
        <w:rPr>
          <w:b/>
        </w:rPr>
        <w:t>E. 6</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w:t>
      </w:r>
    </w:p>
    <w:p>
      <w:r>
        <w:t>A/179/2012 - 8/11 - Leur droit persiste au plus jusqu’au 30e jour suivant le début de l’incapacité totale ou partielle de travail et se limite à 44 indemnités journalières durant le délai-cadre (al. 1er). Les chômeurs qui ont épuisé leur droit selon l’al. 1er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au moins et à une demi- indemnité s’ils le sont à raison de 50% au moins (al. 4). Le chômeur doit apporter la preuve de son incapacité ou de sa capacité de travail en produisant un certificat médical. L’autorité cantonale ou la caisse peut toujours ordonner, aux frais de l’assurance, un examen médical par un médecin-conseil (al. 5). c) Selon l'art 27 de l'ordonnance sur l'assurance-chômage obligatoire et l'indemnité en cas d'insolvabilité, du 31 août 1983 (ordonnance sur l’assurance-chômage, OACI ; RS 837.02), après 60 jours de chômage contrôlé dans les limites du délai- cadre, l’assuré a droit chaque fois à cinq jours consécutifs non soumis au contrôle qu’il peut choisir librement. Durant les jours sans contrôle, il n’a pas l’obligation d’être apte au placement, mais doit remplir les autres conditions dont dépend le droit à l’indemnité. Comptent comme jours de chômage contrôlé les jours pendant lesquels l’assuré remplit les conditions du droit à l’indemnité (al. 2). Les directives précisent que comptent comme jours de chômage contrôlés: • les jours pendant lesquels l'assuré remplit les conditions du droit à l'indemnité conformément à l'art. 8 LACI; • le délai d'attente général et les délais d'attente spéciaux; • les jours de suspension; • les jours pendant lesquels l'assuré est en gain intermédiaire et touche des indemnités compensatoires ou le paiement de la différence; • les jours pour lesquels il bénéficie d'un allégement du contrôle; • les jours durant lesquels il participe à une mesure de marché du travail; • les jours pendant lesquels il perçoit des indemnités journalières en cas d'incapacité passagère de travail visées à l'art. 28 LACI; • les jours sans contrôle (B 365).</w:t>
      </w:r>
    </w:p>
    <w:p>
      <w:r>
        <w:rPr>
          <w:b/>
        </w:rPr>
        <w:t>E. 7</w:t>
      </w:r>
    </w:p>
    <w:p>
      <w:r>
        <w:t>a) Conformément à l’art. 59 al. 1er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(al. 1bis). L’al. 2 de cette disposition précise que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w:t>
      </w:r>
    </w:p>
    <w:p>
      <w:r>
        <w:t>A/179/2012 - 9/11 - travail (let. b), de diminuer le risque de chômage de longue durée (let. c), et de permettre aux assurés d’acquérir une expérience professionnelle (let. d). En vertu de l’art. 59 al. 3 LACI, peuvent participer aux mesures relatives au marché du travail prévues aux art. 60 à 71d les assurés qui remplissent les conditions définies à l’art. 8, pour autant que la loi n’en dispose pas autrement (let. a) et les conditions spécifiques liées à la mesure (let. b). b) Les directives du SECO précisent que les prestations de l'assurance doivent être strictement limitées aux cas dans lesquels la fréquentation d'une MMT s'impose pour des motifs inhérents au marché du travail (Circulaire relative aux mesures du marché du travail, état 2009, A4 - MMT). c) Les autorités compétentes en matière de chômage sont limitativement énumérées à l'art. 76 LACI et détaillées aux art 77 à 89 LACI.</w:t>
      </w:r>
    </w:p>
    <w:p>
      <w:r>
        <w:rPr>
          <w:b/>
        </w:rPr>
        <w:t>E. 8</w:t>
      </w:r>
    </w:p>
    <w:p>
      <w:r>
        <w:t>En l'espèce, la caisse a admis que la prise en compte de l'incapacité de travail de l'assuré, en divisant le nombre d'indemnités par deux, le privait injustement de jours sans contrôle et a accepté de rectifier les seuls décomptes problématiques, soit ceux de décembre 2010, janvier 2011 et février 2011. Il en est résulté que l'assuré disposait de jours sans contrôle supplémentaires à fin juillet 2011 déjà. Ceux-ci ont donné lieu à une rectification du décompte du mois d'août 2011 par l'ajout de 5 jours indemnisés au titre de jours sans contrôle (ou de vacances) de sorte que cet aspect du litige est réglé, la caisse ayant pris l'engagement de verser le montant dû à ce titre, soit 490 fr. 60. Par contre, l'autre grief de l'assuré est manifestement mal fondé, tant il est vrai que le stage mis en place par l'OAI n'est pas une mesure du marché du travail, ne serait-ce que parce qu'elle est ordonnée par un organe de l'assurance-invalidité et non pas de l'assurance-chômage, qu'elle ne vise pas le même but et qu'elle donne droit à une indemnité journalière de l'assurance- invalidité. C'est ainsi que l'assuré ne remplissait pas les conditions de la LACI pour être indemnisé du 21 février au 22 mai 2011, de sorte que cette période ne peut pas générer des jours sans contrôle. C'est d'ailleurs pour ce motif que l'assuré s'est réinscrit au chômage à l'issue de la mesure de l'OAI. Le recours est donc mal fondé sur ce point. Bien que le grief de l'assuré concernant le nombre de jours comptabilisés entre décembre 2010 et février 2011 soit fondé, la Cour n'allouera pas de dépens à l'assuré, compte tenu de la recevabilité plus que douteuse du recours, de l'imprécision et de la confusion des actes du recourant et du fait qu'un accord global aurait pu être conclu en audience, la caisse admettant son erreur sur ce point et l'assuré renonçant à son recours, manifestement mal fondé pour le surplus. Cela étant dit, la caisse serait avisée d'établir un décompte récapitulatif des jours "sans contrôle", mois après mois pour toute la période concernée, manuellement si nécessaire, puisqu'elle prétend que l'état des compteurs est automatiquement celui</w:t>
      </w:r>
    </w:p>
    <w:p>
      <w:r>
        <w:t>A/179/2012 - 10/11 - de la dernière rectification faite. En effet, contrairement aux affirmations de l'antenne genevoise de la caisse, cela empêche l'assuré de vérifier son solde mensuel de jours sans contrôle lorsque, comme en l'espèce, les décomptes sont rectifiés deux, voire trois fois.</w:t>
      </w:r>
    </w:p>
    <w:p>
      <w:r>
        <w:rPr>
          <w:b/>
        </w:rPr>
        <w:t>E. 9</w:t>
      </w:r>
    </w:p>
    <w:p>
      <w:r>
        <w:t>Ainsi, le recours est rejeté dans la mesure de sa recevabilité.</w:t>
      </w:r>
    </w:p>
    <w:p>
      <w:r>
        <w:t>A/179/2012 - 11/11 -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