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ATAS/1073/2019 vom 20. November 2019</w:t>
      </w:r>
    </w:p>
    <w:p>
      <w:r>
        <w:t>GE Cour de justice, 2019-11-20, FR</w:t>
      </w:r>
    </w:p>
    <w:p>
      <w:r>
        <w:rPr>
          <w:b/>
        </w:rPr>
        <w:t xml:space="preserve">Quelle: </w:t>
      </w:r>
      <w:r>
        <w:t>https://mcp.opencaselaw.ch/entscheid/ge_gerichte_ATAS_1073_2019</w:t>
      </w:r>
    </w:p>
    <w:p>
      <w:r>
        <w:t>FR: GE_GERICHTE ATAS/1073/2019 du 20 novembre 2019</w:t>
      </w:r>
    </w:p>
    <w:p>
      <w:r>
        <w:t>IT: GE_GERICHTE ATAS/1073/2019 del 20 novembre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de la recourante a un trois quarts de rente d’invalidité dès le 19 octobre 2018.</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w:t>
      </w:r>
    </w:p>
    <w:p>
      <w:r>
        <w:t>A/1157/2019 - 16/18 -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6</w:t>
      </w:r>
    </w:p>
    <w:p>
      <w:r>
        <w:t>En l’espèce, la recourante souffre d’une atteinte à la santé, en particulier d’une dyslexie, mais cette atteinte ne l’empêche pas de travailler sur le plan médical. La recourante a d’ailleurs admis dans son recours avoir une pleine capacité de travail, ce qui est en outre démontré par les certificats de travail qu’elle a produits. Il en résulte même qu’elle a de bonnes compétences et que son travail a été apprécié. La recourante fait en réalité valoir que son handicap l’empêche de trouver un emploi fixe correspondant à ses compétences. Cet état de fait n’ouvre pas le droit à une rente invalidité selon l’art. 28 al. 1 let. b LAI. En effet, la recourante n’a pas été incapable de travailler à 40% au moins pendant une année sans interruption notable, en raison de son atteinte à la santé. S’il est indéniable que son handicap ne lui facilite pas la tâche pour trouver un emploi fixe et qu’il ne lui permet pas d’avoir accès à certaines professions, il ne l’empêche pas théoriquement de travailler dans une activité adaptée aux limitations dues à celui-ci. Pour évaluer l'invalidité, il n'y a pas lieu d'examiner la question de savoir si une personne atteinte dans sa santé peut être placée eu égard aux conditions concrètes du marché du travail, mais uniquement de se demander si elle pourrait encore exploiter économiquement sa capacité résiduelle de travail lorsque les places de travail disponibles correspondent à l'offre de la main d'oeuvre (VSI 1998 p. 293). Il s'agit uniquement de savoir si, compte tenu de son état de santé, elle est à même d'exercer une activité déterminée sans que l'on ait à rechercher si elle va trouver un employeur disposé à lui confier ce travail. En l’espèce, l’état de santé de la recourante ne l’empêche pas de travailler dans un marché dit équilibré. Le Tribunal fédéral a notamment jugé qu'un marché du travail équilibré est sans conteste en mesure d'offrir des postes que l'on peut occuper avec une seule main ou un seul bras ou suite à la perte fonctionnelle d'un œil. Par ailleurs, des emplois dits « de niche » – autrement dit des postes et des travaux pour lesquels les personnes atteintes dans leur santé peuvent s'attendre à une ouverture sociale de la part de l'employeur – ne sauraient conduire à nier l'existence d'opportunités correspondantes. Il en va de</w:t>
      </w:r>
    </w:p>
    <w:p>
      <w:r>
        <w:t>A/1157/2019 - 17/18 - même de l'exercice d'un travail auxiliaire, ceci en principe indépendamment de l'âge de l'assuré (Michel VALTERIO, op. cit, n. 2114 et 2115; arrêt du Tribunal fédéral des assurances I 180/05 du 16 janvier 2006; arrêt du Tribunal fédéral 9C_95/2007 du 29 août 2007 consid. 4.3). C’est ainsi à juste titre que l’intimé a refusé d’octroyer une rente d’invalidité à la recourante.</w:t>
      </w:r>
    </w:p>
    <w:p>
      <w:r>
        <w:rPr>
          <w:b/>
        </w:rPr>
        <w:t>E. 7</w:t>
      </w:r>
    </w:p>
    <w:p>
      <w:r>
        <w:t>Il convient de relever que l’intimé a octroyé une aide au placement à la recourante, au sens de l’art. 18 LAI, reconnaissant ainsi que celle-ci avait besoin d’un soutien actif dans la recherche d’un emploi.</w:t>
      </w:r>
    </w:p>
    <w:p>
      <w:r>
        <w:rPr>
          <w:b/>
        </w:rPr>
        <w:t>E. 8</w:t>
      </w:r>
    </w:p>
    <w:p>
      <w:r>
        <w:t>Infondé, le recours sera rejeté.</w:t>
      </w:r>
    </w:p>
    <w:p>
      <w:r>
        <w:rPr>
          <w:b/>
        </w:rPr>
        <w:t>E. 9</w:t>
      </w:r>
    </w:p>
    <w:p>
      <w:r>
        <w:t>Un émolument de CHF 200.- sera mis à la charge de la recourante (art. 69 al. 1bis LAI).</w:t>
      </w:r>
    </w:p>
    <w:p>
      <w:r>
        <w:t>A/1157/2019 - 18/18 -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