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ATAS/1072/2013 vom 6. November 2013</w:t>
      </w:r>
    </w:p>
    <w:p>
      <w:r>
        <w:t>GE Cour de justice, 2013-11-06, FR</w:t>
      </w:r>
    </w:p>
    <w:p>
      <w:r>
        <w:rPr>
          <w:b/>
        </w:rPr>
        <w:t xml:space="preserve">Quelle: </w:t>
      </w:r>
      <w:r>
        <w:t>https://mcp.opencaselaw.ch/entscheid/ge_gerichte_ATAS_1072_2013</w:t>
      </w:r>
    </w:p>
    <w:p>
      <w:r>
        <w:t>FR: GE_GERICHTE ATAS/1072/2013 du 6 novembre 2013</w:t>
      </w:r>
    </w:p>
    <w:p>
      <w:r>
        <w:t>IT: GE_GERICHTE ATAS/1072/2013 del 6 novembre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sur l’assurance-invalidité du 19 juin 1959 (LAI; RS 831.20). Sa compétence pour juger du cas d’espèce est ainsi établie.</w:t>
      </w:r>
    </w:p>
    <w:p>
      <w:r>
        <w:rPr>
          <w:b/>
        </w:rPr>
        <w:t>E. 2</w:t>
      </w:r>
    </w:p>
    <w:p>
      <w:r>
        <w:t>Le litige porte sur la restitution de l'effet suspensif au recours.</w:t>
      </w:r>
    </w:p>
    <w:p>
      <w:r>
        <w:rPr>
          <w:b/>
        </w:rPr>
        <w:t>E. 3</w:t>
      </w:r>
    </w:p>
    <w:p>
      <w:r>
        <w:t>Selon l'art. 54 al. 1 let. c LPGA, les décisions et les décisions sur opposition sont exécutoires lorsque l'effet suspensif attribué à une opposition ou à un recours a été retiré.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(RS 172.021). Selon l'art. 1 al. 3 PA, l'art. 55 al. 2 et 4 PA, concernant le retrait de l'effet suspensif, s'applique à la procédure devant les autorités cantonales de dernière instance qui ne statuent pas définitivement en vertu du droit public fédéral.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w:t>
      </w:r>
    </w:p>
    <w:p>
      <w:r>
        <w:t>A/3223/2013 - 4/5 - à l'appui de la solution contraire (ATF 124 V 88 consid. 6a, 117 V 191 consid. 2b et les références; ATFA du 19 septembre 2006, I 439/06). En pareilles circonstances, l'intérêt de l'administration apparaissait généralement prépondérant, puisque dans l'hypothèse où l'assuré n'obtiendrait pas gain de cause sur le fond matériel de la contestation, il était en effet à craindre que la procédure en restitution des prestations versées à tort ne se révèle infructueuse. (ATF 105 V 269 consid. 3; VSI 2000 p. 187 consid. 5). S'agissant des prévisions sur l'issue du litige, elles doivent présenter pour l'assuré, un degré de certitude suffisant pour être prises en considération (ATFA du 19 septembre 2006, I 439/06).</w:t>
      </w:r>
    </w:p>
    <w:p>
      <w:r>
        <w:rPr>
          <w:b/>
        </w:rPr>
        <w:t>E. 4</w:t>
      </w:r>
    </w:p>
    <w:p>
      <w:r>
        <w:t>En l'espèce, la capacité de l'assuré de se déplacer seul, de prendre les transports en commun, de se rendre dans les établissements publics et d'assumer des rendez-vous d'affaires dans le domaine immobilier – même s'ils ne sont pas rémunérateurs - dénotent un amendement de l'agoraphobie, des divers TOC et troubles anxieux, qui permettent de rendre vraisemblable que la capacité de gain s'est améliorée et que l'assuré n'a pas informé l'administration de la modification de sa situation. En tout état, il n'apparaît pas, à ce stade de la procédure, que le recourant obtiendra sans aucun doute gain de cause. En d'autre termes, le droit au maintien de tout ou partie de sa rente entière d'invalidité n'est pas établi avec un degré de certitude suffisant pour restituer l'effet suspensif au recours.</w:t>
      </w:r>
    </w:p>
    <w:p>
      <w:r>
        <w:rPr>
          <w:b/>
        </w:rPr>
        <w:t>E. 5</w:t>
      </w:r>
    </w:p>
    <w:p>
      <w:r>
        <w:t>La requête de restitution de l'effet suspensif est donc rejetée.</w:t>
      </w:r>
    </w:p>
    <w:p>
      <w:r>
        <w:t>A/3223/2013 - 5/5 -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